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jc w:val="left"/>
        <w:rPr>
          <w:rFonts w:hint="default" w:eastAsia="宋体"/>
          <w:b/>
          <w:sz w:val="20"/>
          <w:szCs w:val="20"/>
          <w:lang w:val="en-US" w:eastAsia="zh-CN"/>
        </w:rPr>
      </w:pPr>
      <w:bookmarkStart w:id="0" w:name="Title"/>
      <w:bookmarkEnd w:id="0"/>
      <w:bookmarkStart w:id="1" w:name="DocumentFor"/>
      <w:bookmarkEnd w:id="1"/>
      <w:r>
        <w:rPr>
          <w:b/>
          <w:sz w:val="20"/>
          <w:szCs w:val="20"/>
        </w:rPr>
        <w:t>3GPP TSG RAN WG2</w:t>
      </w:r>
      <w:r>
        <w:rPr>
          <w:rFonts w:hint="eastAsia"/>
          <w:b/>
          <w:sz w:val="20"/>
          <w:szCs w:val="20"/>
        </w:rPr>
        <w:t xml:space="preserve"> Meeting </w:t>
      </w:r>
      <w:r>
        <w:rPr>
          <w:b/>
          <w:sz w:val="20"/>
          <w:szCs w:val="20"/>
        </w:rPr>
        <w:t>#1</w:t>
      </w:r>
      <w:r>
        <w:rPr>
          <w:rFonts w:hint="eastAsia" w:eastAsia="宋体"/>
          <w:b/>
          <w:sz w:val="20"/>
          <w:szCs w:val="20"/>
          <w:lang w:val="en-US" w:eastAsia="zh-CN"/>
        </w:rPr>
        <w:t>27bis</w:t>
      </w:r>
      <w:r>
        <w:rPr>
          <w:b/>
          <w:sz w:val="20"/>
          <w:szCs w:val="20"/>
        </w:rPr>
        <w:tab/>
      </w:r>
      <w:r>
        <w:rPr>
          <w:rFonts w:hint="eastAsia"/>
          <w:b/>
          <w:sz w:val="20"/>
          <w:szCs w:val="20"/>
        </w:rPr>
        <w:t>R2-2408082</w:t>
      </w:r>
    </w:p>
    <w:p>
      <w:pPr>
        <w:pStyle w:val="56"/>
        <w:jc w:val="left"/>
        <w:rPr>
          <w:rFonts w:hint="eastAsia" w:cs="Arial"/>
          <w:sz w:val="20"/>
          <w:szCs w:val="20"/>
        </w:rPr>
      </w:pPr>
      <w:r>
        <w:rPr>
          <w:rFonts w:hint="eastAsia" w:cs="Arial"/>
          <w:sz w:val="20"/>
          <w:szCs w:val="20"/>
        </w:rPr>
        <w:t>Hefei, China, October 14</w:t>
      </w:r>
      <w:r>
        <w:rPr>
          <w:rFonts w:hint="eastAsia" w:cs="Arial"/>
          <w:sz w:val="20"/>
          <w:szCs w:val="20"/>
          <w:vertAlign w:val="superscript"/>
        </w:rPr>
        <w:t>th</w:t>
      </w:r>
      <w:r>
        <w:rPr>
          <w:rFonts w:hint="eastAsia" w:cs="Arial"/>
          <w:sz w:val="20"/>
          <w:szCs w:val="20"/>
        </w:rPr>
        <w:t xml:space="preserve"> – 18</w:t>
      </w:r>
      <w:r>
        <w:rPr>
          <w:rFonts w:hint="eastAsia" w:cs="Arial"/>
          <w:sz w:val="20"/>
          <w:szCs w:val="20"/>
          <w:vertAlign w:val="superscript"/>
        </w:rPr>
        <w:t>th</w:t>
      </w:r>
      <w:r>
        <w:rPr>
          <w:rFonts w:hint="eastAsia" w:cs="Arial"/>
          <w:sz w:val="20"/>
          <w:szCs w:val="20"/>
        </w:rPr>
        <w:t>, 2024</w:t>
      </w:r>
    </w:p>
    <w:p>
      <w:pPr>
        <w:pStyle w:val="56"/>
        <w:jc w:val="left"/>
        <w:rPr>
          <w:rFonts w:hint="default" w:eastAsia="宋体" w:cs="Arial"/>
          <w:sz w:val="20"/>
          <w:szCs w:val="20"/>
          <w:lang w:val="en-US" w:eastAsia="zh-CN"/>
        </w:rPr>
      </w:pPr>
      <w:r>
        <w:rPr>
          <w:rFonts w:cs="Arial"/>
          <w:sz w:val="20"/>
          <w:szCs w:val="20"/>
        </w:rPr>
        <w:t>Agenda Item:</w:t>
      </w:r>
      <w:r>
        <w:rPr>
          <w:rFonts w:cs="Arial"/>
          <w:sz w:val="20"/>
          <w:szCs w:val="20"/>
        </w:rPr>
        <w:tab/>
      </w:r>
      <w:r>
        <w:rPr>
          <w:rFonts w:hint="eastAsia" w:eastAsia="宋体" w:cs="Arial"/>
          <w:sz w:val="20"/>
          <w:szCs w:val="20"/>
          <w:lang w:val="en-US" w:eastAsia="zh-CN"/>
        </w:rPr>
        <w:t>8.9.3</w:t>
      </w:r>
    </w:p>
    <w:p>
      <w:pPr>
        <w:pStyle w:val="56"/>
        <w:jc w:val="left"/>
        <w:rPr>
          <w:rFonts w:cs="Arial"/>
          <w:sz w:val="20"/>
          <w:szCs w:val="20"/>
        </w:rPr>
      </w:pPr>
      <w:r>
        <w:rPr>
          <w:rFonts w:cs="Arial"/>
          <w:sz w:val="20"/>
          <w:szCs w:val="20"/>
        </w:rPr>
        <w:t>Source:</w:t>
      </w:r>
      <w:r>
        <w:rPr>
          <w:rFonts w:cs="Arial"/>
          <w:sz w:val="20"/>
          <w:szCs w:val="20"/>
        </w:rPr>
        <w:tab/>
      </w:r>
      <w:r>
        <w:rPr>
          <w:rFonts w:eastAsia="宋体" w:cs="Arial"/>
          <w:sz w:val="20"/>
          <w:szCs w:val="20"/>
        </w:rPr>
        <w:t>CMCC</w:t>
      </w:r>
      <w:r>
        <w:rPr>
          <w:rFonts w:eastAsia="宋体" w:cs="Arial"/>
          <w:sz w:val="20"/>
          <w:szCs w:val="20"/>
        </w:rPr>
        <w:tab/>
      </w:r>
    </w:p>
    <w:p>
      <w:pPr>
        <w:pStyle w:val="56"/>
        <w:jc w:val="left"/>
        <w:rPr>
          <w:rFonts w:hint="default" w:cs="Arial" w:eastAsiaTheme="minorEastAsia"/>
          <w:sz w:val="20"/>
          <w:szCs w:val="20"/>
          <w:lang w:val="en-US" w:eastAsia="zh-CN"/>
        </w:rPr>
      </w:pPr>
      <w:r>
        <w:rPr>
          <w:rFonts w:cs="Arial"/>
          <w:sz w:val="20"/>
          <w:szCs w:val="20"/>
        </w:rPr>
        <w:t>Title:</w:t>
      </w:r>
      <w:r>
        <w:rPr>
          <w:rFonts w:cs="Arial"/>
          <w:sz w:val="20"/>
          <w:szCs w:val="20"/>
        </w:rPr>
        <w:tab/>
      </w:r>
      <w:r>
        <w:rPr>
          <w:rFonts w:hint="eastAsia" w:eastAsia="宋体" w:cs="Arial"/>
          <w:sz w:val="20"/>
          <w:szCs w:val="20"/>
          <w:lang w:val="en-US" w:eastAsia="zh-CN"/>
        </w:rPr>
        <w:t xml:space="preserve">Further </w:t>
      </w:r>
      <w:r>
        <w:rPr>
          <w:rFonts w:hint="eastAsia" w:cs="Arial" w:eastAsiaTheme="minorEastAsia"/>
          <w:sz w:val="20"/>
          <w:szCs w:val="20"/>
          <w:lang w:val="en-US" w:eastAsia="zh-CN"/>
        </w:rPr>
        <w:t>discussion on uplink capacity enhancement for IoT-NTN</w:t>
      </w:r>
    </w:p>
    <w:p>
      <w:pPr>
        <w:pStyle w:val="56"/>
        <w:jc w:val="left"/>
        <w:rPr>
          <w:rFonts w:cs="Arial" w:eastAsiaTheme="minorEastAsia"/>
          <w:sz w:val="20"/>
          <w:szCs w:val="20"/>
        </w:rPr>
      </w:pPr>
      <w:r>
        <w:rPr>
          <w:rFonts w:cs="Arial"/>
          <w:sz w:val="20"/>
          <w:szCs w:val="20"/>
        </w:rPr>
        <w:t>Document for:</w:t>
      </w:r>
      <w:r>
        <w:rPr>
          <w:rFonts w:cs="Arial"/>
          <w:sz w:val="20"/>
          <w:szCs w:val="20"/>
        </w:rPr>
        <w:tab/>
      </w:r>
      <w:r>
        <w:rPr>
          <w:rFonts w:cs="Arial"/>
          <w:sz w:val="20"/>
          <w:szCs w:val="20"/>
        </w:rPr>
        <w:t>Discussion, Decision</w:t>
      </w:r>
    </w:p>
    <w:p>
      <w:pPr>
        <w:pStyle w:val="2"/>
        <w:rPr>
          <w:rFonts w:cs="Arial"/>
          <w:sz w:val="32"/>
          <w:szCs w:val="32"/>
        </w:rPr>
      </w:pPr>
      <w:r>
        <w:rPr>
          <w:rFonts w:cs="Arial"/>
          <w:sz w:val="32"/>
          <w:szCs w:val="32"/>
        </w:rPr>
        <w:t>Introduction</w:t>
      </w:r>
    </w:p>
    <w:p>
      <w:pPr>
        <w:numPr>
          <w:ilvl w:val="0"/>
          <w:numId w:val="0"/>
        </w:numPr>
        <w:spacing w:after="0"/>
        <w:rPr>
          <w:lang w:val="en-US"/>
        </w:rPr>
      </w:pPr>
      <w:r>
        <w:rPr>
          <w:rFonts w:hint="eastAsia" w:eastAsia="宋体"/>
          <w:bCs/>
          <w:lang w:val="en-US" w:eastAsia="zh-CN"/>
        </w:rPr>
        <w:t>In last meeting, there were some discussions on uplink capacity enhancements for IoT-NTN and achieved some agreements as follows [1]:</w:t>
      </w:r>
    </w:p>
    <w:p>
      <w:pPr>
        <w:pStyle w:val="6"/>
        <w:pBdr>
          <w:top w:val="single" w:color="auto" w:sz="4" w:space="1"/>
          <w:left w:val="single" w:color="auto" w:sz="4" w:space="4"/>
          <w:bottom w:val="single" w:color="auto" w:sz="4" w:space="1"/>
          <w:right w:val="single" w:color="auto" w:sz="4" w:space="4"/>
        </w:pBdr>
        <w:rPr>
          <w:lang w:val="en-US"/>
        </w:rPr>
      </w:pPr>
      <w:r>
        <w:rPr>
          <w:lang w:val="en-US"/>
        </w:rPr>
        <w:t>Agreements:</w:t>
      </w:r>
    </w:p>
    <w:p>
      <w:pPr>
        <w:pStyle w:val="6"/>
        <w:pBdr>
          <w:top w:val="single" w:color="auto" w:sz="4" w:space="1"/>
          <w:left w:val="single" w:color="auto" w:sz="4" w:space="4"/>
          <w:bottom w:val="single" w:color="auto" w:sz="4" w:space="1"/>
          <w:right w:val="single" w:color="auto" w:sz="4" w:space="4"/>
        </w:pBdr>
        <w:rPr>
          <w:lang w:val="en-US"/>
        </w:rPr>
      </w:pPr>
      <w:r>
        <w:rPr>
          <w:lang w:val="en-US"/>
        </w:rPr>
        <w:t>1.</w:t>
      </w:r>
      <w:r>
        <w:rPr>
          <w:lang w:val="en-US"/>
        </w:rPr>
        <w:tab/>
      </w:r>
      <w:r>
        <w:rPr>
          <w:lang w:val="en-US"/>
        </w:rPr>
        <w:t>RAN2 will continue working on a CB-msg3 EDT-like mechanism</w:t>
      </w:r>
    </w:p>
    <w:p>
      <w:pPr>
        <w:pStyle w:val="6"/>
        <w:pBdr>
          <w:top w:val="single" w:color="auto" w:sz="4" w:space="1"/>
          <w:left w:val="single" w:color="auto" w:sz="4" w:space="4"/>
          <w:bottom w:val="single" w:color="auto" w:sz="4" w:space="1"/>
          <w:right w:val="single" w:color="auto" w:sz="4" w:space="4"/>
        </w:pBdr>
        <w:rPr>
          <w:lang w:val="en-US"/>
        </w:rPr>
      </w:pPr>
      <w:r>
        <w:rPr>
          <w:lang w:val="en-US"/>
        </w:rPr>
        <w:t>2.</w:t>
      </w:r>
      <w:r>
        <w:rPr>
          <w:lang w:val="en-US"/>
        </w:rPr>
        <w:tab/>
      </w:r>
      <w:r>
        <w:rPr>
          <w:lang w:val="en-US"/>
        </w:rPr>
        <w:t>RAN2 assumes that a DSA based scheme would not have RAN1 impacts, while RAN2 thinks that a CRDSA based scheme would necessarily have RAN1 impacts</w:t>
      </w:r>
    </w:p>
    <w:p>
      <w:pPr>
        <w:pStyle w:val="6"/>
        <w:pBdr>
          <w:top w:val="single" w:color="auto" w:sz="4" w:space="1"/>
          <w:left w:val="single" w:color="auto" w:sz="4" w:space="4"/>
          <w:bottom w:val="single" w:color="auto" w:sz="4" w:space="1"/>
          <w:right w:val="single" w:color="auto" w:sz="4" w:space="4"/>
        </w:pBdr>
        <w:rPr>
          <w:lang w:val="en-US"/>
        </w:rPr>
      </w:pPr>
      <w:r>
        <w:rPr>
          <w:lang w:val="en-US"/>
        </w:rPr>
        <w:t>3.</w:t>
      </w:r>
      <w:r>
        <w:rPr>
          <w:lang w:val="en-US"/>
        </w:rPr>
        <w:tab/>
      </w:r>
      <w:r>
        <w:rPr>
          <w:lang w:val="en-US"/>
        </w:rPr>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pPr>
        <w:pStyle w:val="6"/>
        <w:pBdr>
          <w:top w:val="single" w:color="auto" w:sz="4" w:space="1"/>
          <w:left w:val="single" w:color="auto" w:sz="4" w:space="4"/>
          <w:bottom w:val="single" w:color="auto" w:sz="4" w:space="1"/>
          <w:right w:val="single" w:color="auto" w:sz="4" w:space="4"/>
        </w:pBdr>
        <w:rPr>
          <w:lang w:val="en-US"/>
        </w:rPr>
      </w:pPr>
      <w:r>
        <w:rPr>
          <w:lang w:val="en-US"/>
        </w:rPr>
        <w:t>4.</w:t>
      </w:r>
      <w:r>
        <w:rPr>
          <w:lang w:val="en-US"/>
        </w:rPr>
        <w:tab/>
      </w:r>
      <w:r>
        <w:rPr>
          <w:lang w:val="en-US"/>
        </w:rPr>
        <w:t>For DSA and CRDSA, RAN2 can consider in the evaluation how to integrate them with repetition.</w:t>
      </w:r>
    </w:p>
    <w:p>
      <w:pPr>
        <w:suppressAutoHyphens/>
        <w:adjustRightInd/>
        <w:spacing w:before="120"/>
        <w:rPr>
          <w:rFonts w:eastAsiaTheme="minorEastAsia"/>
        </w:rPr>
      </w:pPr>
      <w:r>
        <w:rPr>
          <w:rFonts w:hint="eastAsia" w:cs="Arial" w:eastAsiaTheme="minorEastAsia"/>
        </w:rPr>
        <w:t>I</w:t>
      </w:r>
      <w:r>
        <w:rPr>
          <w:rFonts w:cs="Arial"/>
        </w:rPr>
        <w:t>n this contribution, we would like to</w:t>
      </w:r>
      <w:r>
        <w:rPr>
          <w:rFonts w:hint="eastAsia" w:eastAsia="宋体" w:cs="Arial"/>
          <w:lang w:val="en-US" w:eastAsia="zh-CN"/>
        </w:rPr>
        <w:t xml:space="preserve"> </w:t>
      </w:r>
      <w:r>
        <w:rPr>
          <w:rFonts w:cs="Arial"/>
        </w:rPr>
        <w:t xml:space="preserve">provide </w:t>
      </w:r>
      <w:r>
        <w:rPr>
          <w:rFonts w:hint="eastAsia" w:cs="Arial" w:eastAsiaTheme="minorEastAsia"/>
          <w:lang w:val="en-US" w:eastAsia="zh-CN"/>
        </w:rPr>
        <w:t>some further discussion on</w:t>
      </w:r>
      <w:r>
        <w:rPr>
          <w:rFonts w:cs="Arial"/>
        </w:rPr>
        <w:t xml:space="preserve"> </w:t>
      </w:r>
      <w:r>
        <w:rPr>
          <w:rFonts w:hint="eastAsia" w:eastAsia="宋体" w:cs="Arial"/>
          <w:lang w:val="en-US" w:eastAsia="zh-CN"/>
        </w:rPr>
        <w:t>EDT enhancements in</w:t>
      </w:r>
      <w:r>
        <w:rPr>
          <w:rFonts w:cs="Arial"/>
        </w:rPr>
        <w:t xml:space="preserve"> </w:t>
      </w:r>
      <w:r>
        <w:rPr>
          <w:rFonts w:hint="eastAsia" w:eastAsia="宋体" w:cs="Arial"/>
          <w:lang w:val="en-US" w:eastAsia="zh-CN"/>
        </w:rPr>
        <w:t>IoT-NTN system</w:t>
      </w:r>
      <w:r>
        <w:rPr>
          <w:rFonts w:hint="eastAsia" w:cs="Arial" w:eastAsiaTheme="minorEastAsia"/>
        </w:rPr>
        <w:t>.</w:t>
      </w:r>
    </w:p>
    <w:p>
      <w:pPr>
        <w:pStyle w:val="2"/>
        <w:rPr>
          <w:rFonts w:hint="default" w:eastAsiaTheme="minorEastAsia"/>
          <w:bCs/>
          <w:sz w:val="32"/>
          <w:szCs w:val="32"/>
          <w:u w:val="single"/>
          <w:lang w:val="en-US" w:eastAsia="zh-CN"/>
        </w:rPr>
      </w:pPr>
      <w:r>
        <w:rPr>
          <w:rFonts w:cs="Arial"/>
          <w:sz w:val="32"/>
          <w:szCs w:val="32"/>
        </w:rPr>
        <w:t>Discussion</w:t>
      </w:r>
      <w:bookmarkStart w:id="2" w:name="_Hlk41985036"/>
    </w:p>
    <w:p>
      <w:pPr>
        <w:rPr>
          <w:rFonts w:hint="default" w:eastAsia="宋体" w:cs="Arial"/>
          <w:sz w:val="20"/>
          <w:szCs w:val="20"/>
          <w:lang w:val="en-US" w:eastAsia="zh-CN"/>
        </w:rPr>
      </w:pPr>
      <w:r>
        <w:rPr>
          <w:rFonts w:hint="eastAsia" w:eastAsia="宋体" w:cs="Arial"/>
          <w:sz w:val="20"/>
          <w:szCs w:val="20"/>
          <w:lang w:val="en-US" w:eastAsia="zh-CN"/>
        </w:rPr>
        <w:t xml:space="preserve">In RAN2 #126 meeting, we sent an LS to RAN1/4 to check whether the pre-compensated TA (i.e., the one used for Msg1 transmission during random access for IoT NTN) can satisfy the required timing accuracy for Msg3 transmission without Msg1/Msg2. </w:t>
      </w:r>
    </w:p>
    <w:p>
      <w:pPr>
        <w:rPr>
          <w:rFonts w:hint="eastAsia" w:eastAsia="宋体" w:cs="Arial"/>
          <w:sz w:val="20"/>
          <w:szCs w:val="20"/>
          <w:lang w:val="en-US" w:eastAsia="zh-CN"/>
        </w:rPr>
      </w:pPr>
      <w:r>
        <w:rPr>
          <w:rFonts w:hint="eastAsia" w:eastAsia="宋体" w:cs="Arial"/>
          <w:sz w:val="20"/>
          <w:szCs w:val="20"/>
          <w:lang w:val="en-US" w:eastAsia="zh-CN"/>
        </w:rPr>
        <w:t>Then RAN1/4 provided feedback as following respectively:</w:t>
      </w:r>
    </w:p>
    <w:p>
      <w:pPr>
        <w:rPr>
          <w:rFonts w:hint="default" w:eastAsia="宋体" w:cs="Arial"/>
          <w:sz w:val="20"/>
          <w:szCs w:val="20"/>
          <w:lang w:val="en-US" w:eastAsia="zh-CN"/>
        </w:rPr>
      </w:pPr>
      <w:r>
        <w:rPr>
          <w:rFonts w:hint="eastAsia" w:eastAsia="宋体" w:cs="Arial"/>
          <w:sz w:val="20"/>
          <w:szCs w:val="20"/>
          <w:lang w:val="en-US" w:eastAsia="zh-CN"/>
        </w:rPr>
        <w:t>RAN1 reply LS (R1- 2407548):</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0"/>
                <w:numId w:val="11"/>
              </w:numPr>
              <w:spacing w:after="120"/>
              <w:rPr>
                <w:rFonts w:ascii="Arial" w:hAnsi="Arial" w:cs="Arial"/>
                <w:b/>
              </w:rPr>
            </w:pPr>
            <w:r>
              <w:rPr>
                <w:rFonts w:ascii="Arial" w:hAnsi="Arial" w:cs="Arial"/>
                <w:b/>
              </w:rPr>
              <w:t>Overall Description:</w:t>
            </w:r>
          </w:p>
          <w:p>
            <w:pPr>
              <w:rPr>
                <w:rFonts w:ascii="Arial" w:hAnsi="Arial" w:cs="Arial"/>
                <w:color w:val="000000"/>
                <w:lang w:val="en-US" w:eastAsia="zh-CN"/>
              </w:rPr>
            </w:pPr>
            <w:r>
              <w:rPr>
                <w:rFonts w:ascii="Arial" w:hAnsi="Arial" w:cs="Arial"/>
                <w:color w:val="000000"/>
              </w:rPr>
              <w:t>RAN</w:t>
            </w:r>
            <w:r>
              <w:rPr>
                <w:rFonts w:hint="eastAsia" w:ascii="Arial" w:hAnsi="Arial" w:cs="Arial"/>
                <w:color w:val="000000"/>
                <w:lang w:val="en-US" w:eastAsia="zh-CN"/>
              </w:rPr>
              <w:t>1</w:t>
            </w:r>
            <w:r>
              <w:rPr>
                <w:rFonts w:ascii="Arial" w:hAnsi="Arial" w:cs="Arial"/>
                <w:color w:val="000000"/>
              </w:rPr>
              <w:t xml:space="preserve"> would like to thank RAN</w:t>
            </w:r>
            <w:r>
              <w:rPr>
                <w:rFonts w:hint="eastAsia" w:ascii="Arial" w:hAnsi="Arial" w:cs="Arial"/>
                <w:color w:val="000000"/>
                <w:lang w:val="en-US" w:eastAsia="zh-CN"/>
              </w:rPr>
              <w:t>2</w:t>
            </w:r>
            <w:r>
              <w:rPr>
                <w:rFonts w:ascii="Arial" w:hAnsi="Arial" w:cs="Arial"/>
                <w:color w:val="000000"/>
              </w:rPr>
              <w:t xml:space="preserve"> for the LS in R1-2405786/R2-2405769 on UL synchronization for contention based Msg3 transmission without Msg1/Msg2</w:t>
            </w:r>
            <w:r>
              <w:rPr>
                <w:rFonts w:hint="eastAsia" w:ascii="Arial" w:hAnsi="Arial" w:cs="Arial"/>
                <w:color w:val="000000"/>
                <w:lang w:val="en-US" w:eastAsia="zh-CN"/>
              </w:rPr>
              <w:t>.</w:t>
            </w:r>
            <w:r>
              <w:rPr>
                <w:rFonts w:ascii="Arial" w:hAnsi="Arial" w:cs="Arial"/>
                <w:color w:val="000000"/>
                <w:lang w:val="en-US" w:eastAsia="zh-CN"/>
              </w:rPr>
              <w:t xml:space="preserve"> Regarding RAN2’s questions, following is the RAN1’s response:</w:t>
            </w:r>
          </w:p>
          <w:p>
            <w:pPr>
              <w:rPr>
                <w:rFonts w:ascii="Arial" w:hAnsi="Arial" w:cs="Arial"/>
                <w:color w:val="000000"/>
                <w:lang w:val="en-US" w:eastAsia="zh-CN"/>
              </w:rPr>
            </w:pPr>
          </w:p>
          <w:p>
            <w:pPr>
              <w:rPr>
                <w:rFonts w:ascii="Arial" w:hAnsi="Arial" w:cs="Arial"/>
                <w:color w:val="000000"/>
                <w:lang w:val="en-US" w:eastAsia="zh-CN"/>
              </w:rPr>
            </w:pPr>
            <w:r>
              <w:rPr>
                <w:rFonts w:ascii="Arial" w:hAnsi="Arial" w:cs="Arial"/>
                <w:b/>
                <w:color w:val="000000"/>
                <w:lang w:val="en-US" w:eastAsia="zh-CN"/>
              </w:rPr>
              <w:t>Q1</w:t>
            </w:r>
            <w:r>
              <w:rPr>
                <w:rFonts w:ascii="Arial" w:hAnsi="Arial" w:cs="Arial"/>
                <w:color w:val="000000"/>
                <w:lang w:val="en-US" w:eastAsia="zh-CN"/>
              </w:rPr>
              <w:t xml:space="preserve">: Whether an RRC Idle UE with a pre-compensated TA (i.e., the one used for Msg1 transmission during random access for IoT NTN) can satisfy the required timing accuracy for Msg3 transmission without Msg1/Msg2? </w:t>
            </w:r>
          </w:p>
          <w:p>
            <w:pPr>
              <w:rPr>
                <w:rFonts w:ascii="Arial" w:hAnsi="Arial" w:cs="Arial"/>
                <w:b/>
                <w:color w:val="000000"/>
                <w:lang w:val="en-US" w:eastAsia="zh-CN"/>
              </w:rPr>
            </w:pPr>
          </w:p>
          <w:p>
            <w:pPr>
              <w:rPr>
                <w:rFonts w:ascii="Arial" w:hAnsi="Arial" w:cs="Arial"/>
                <w:b/>
                <w:color w:val="000000"/>
                <w:lang w:val="en-US" w:eastAsia="zh-CN"/>
              </w:rPr>
            </w:pPr>
            <w:r>
              <w:rPr>
                <w:rFonts w:ascii="Arial" w:hAnsi="Arial" w:cs="Arial"/>
                <w:b/>
                <w:color w:val="000000"/>
                <w:lang w:val="en-US" w:eastAsia="zh-CN"/>
              </w:rPr>
              <w:t xml:space="preserve">RAN1’s response: </w:t>
            </w:r>
          </w:p>
          <w:p>
            <w:pPr>
              <w:rPr>
                <w:rFonts w:ascii="Arial" w:hAnsi="Arial" w:cs="Arial"/>
                <w:color w:val="000000"/>
                <w:lang w:val="en-US" w:eastAsia="zh-CN"/>
              </w:rPr>
            </w:pPr>
            <w:r>
              <w:rPr>
                <w:rFonts w:ascii="Arial" w:hAnsi="Arial" w:cs="Arial"/>
                <w:color w:val="000000"/>
                <w:lang w:val="en-US" w:eastAsia="zh-CN"/>
              </w:rPr>
              <w:t>From RAN1 perspective, assuming Note 1 and Note 2 are satisfied, an RRC Idle UE with a pre-compensated TA (i.e., the one used for Msg1 transmission during random access for IoT NTN) can satisfy requirement for Msg3 transmission/reception without Msg1/Msg2 at least in the following cases:</w:t>
            </w:r>
          </w:p>
          <w:p>
            <w:pPr>
              <w:pStyle w:val="109"/>
              <w:numPr>
                <w:ilvl w:val="0"/>
                <w:numId w:val="12"/>
              </w:numPr>
              <w:rPr>
                <w:rFonts w:ascii="Arial" w:hAnsi="Arial" w:cs="Arial"/>
                <w:color w:val="000000"/>
                <w:lang w:val="en-US" w:eastAsia="zh-CN"/>
              </w:rPr>
            </w:pPr>
            <w:r>
              <w:rPr>
                <w:rFonts w:ascii="Arial" w:hAnsi="Arial" w:cs="Arial"/>
                <w:color w:val="000000"/>
                <w:lang w:val="en-US" w:eastAsia="zh-CN"/>
              </w:rPr>
              <w:t>NB-IoT with 3.75kHz SCS.</w:t>
            </w:r>
          </w:p>
          <w:p>
            <w:pPr>
              <w:pStyle w:val="109"/>
              <w:numPr>
                <w:ilvl w:val="0"/>
                <w:numId w:val="12"/>
              </w:numPr>
              <w:rPr>
                <w:rFonts w:ascii="Arial" w:hAnsi="Arial" w:cs="Arial"/>
                <w:color w:val="000000"/>
                <w:lang w:val="en-US" w:eastAsia="zh-CN"/>
              </w:rPr>
            </w:pPr>
            <w:r>
              <w:rPr>
                <w:rFonts w:ascii="Arial" w:hAnsi="Arial" w:cs="Arial"/>
                <w:color w:val="000000"/>
                <w:lang w:val="en-US" w:eastAsia="zh-CN"/>
              </w:rPr>
              <w:t>eMTC CE mode A.</w:t>
            </w:r>
          </w:p>
          <w:p>
            <w:pPr>
              <w:rPr>
                <w:rFonts w:ascii="Arial" w:hAnsi="Arial" w:cs="Arial"/>
                <w:color w:val="000000"/>
                <w:lang w:val="en-US" w:eastAsia="zh-CN"/>
              </w:rPr>
            </w:pPr>
            <w:r>
              <w:rPr>
                <w:rFonts w:ascii="Arial" w:hAnsi="Arial" w:cs="Arial"/>
                <w:color w:val="000000"/>
                <w:lang w:val="en-US" w:eastAsia="zh-CN"/>
              </w:rPr>
              <w:t>Note 1: RAN1 assumes N</w:t>
            </w:r>
            <w:r>
              <w:rPr>
                <w:rFonts w:ascii="Arial" w:hAnsi="Arial" w:cs="Arial"/>
                <w:color w:val="000000"/>
                <w:vertAlign w:val="subscript"/>
                <w:lang w:val="en-US" w:eastAsia="zh-CN"/>
              </w:rPr>
              <w:t>TA</w:t>
            </w:r>
            <w:r>
              <w:rPr>
                <w:rFonts w:ascii="Arial" w:hAnsi="Arial" w:cs="Arial"/>
                <w:color w:val="000000"/>
                <w:lang w:val="en-US" w:eastAsia="zh-CN"/>
              </w:rPr>
              <w:t>=0 for Msg3 transmission without Msg1/Msg2</w:t>
            </w:r>
          </w:p>
          <w:p>
            <w:pPr>
              <w:rPr>
                <w:rFonts w:ascii="Arial" w:hAnsi="Arial" w:cs="Arial"/>
                <w:color w:val="000000"/>
                <w:lang w:val="en-US" w:eastAsia="zh-CN"/>
              </w:rPr>
            </w:pPr>
            <w:r>
              <w:rPr>
                <w:rFonts w:ascii="Arial" w:hAnsi="Arial" w:cs="Arial"/>
                <w:color w:val="000000"/>
                <w:lang w:val="en-US" w:eastAsia="zh-CN"/>
              </w:rPr>
              <w:t>Note 2: RAN1 assumes that the RAN4 UL synchronization requirements specified in Table 7.20A.2-1 and Table 7.24A.2-1 of TS 36.133 apply to the Msg3 transmission without Msg1/Msg2 in NB-IoT over NTN and eMTC over NTN, respectively.</w:t>
            </w:r>
          </w:p>
          <w:p>
            <w:pPr>
              <w:rPr>
                <w:rFonts w:ascii="Arial" w:hAnsi="Arial" w:cs="Arial"/>
                <w:color w:val="000000"/>
                <w:lang w:val="en-US" w:eastAsia="zh-CN"/>
              </w:rPr>
            </w:pPr>
            <w:r>
              <w:rPr>
                <w:rFonts w:ascii="Arial" w:hAnsi="Arial" w:cs="Arial"/>
                <w:color w:val="000000"/>
                <w:lang w:val="en-US" w:eastAsia="zh-CN"/>
              </w:rPr>
              <w:t xml:space="preserve">Note 3: RAN1 may further discuss the cases of NB-IoT with 15kHz SCS and eMTC CE mode B </w:t>
            </w:r>
          </w:p>
          <w:p>
            <w:pPr>
              <w:spacing w:after="120"/>
              <w:jc w:val="both"/>
              <w:rPr>
                <w:rFonts w:ascii="Arial" w:hAnsi="Arial" w:cs="Arial"/>
                <w:color w:val="000000"/>
                <w:lang w:val="en-US" w:eastAsia="zh-CN"/>
              </w:rPr>
            </w:pPr>
          </w:p>
          <w:p>
            <w:pPr>
              <w:keepNext/>
              <w:spacing w:before="240" w:after="120"/>
              <w:rPr>
                <w:rFonts w:ascii="Arial" w:hAnsi="Arial" w:cs="Arial"/>
                <w:b/>
              </w:rPr>
            </w:pPr>
            <w:r>
              <w:rPr>
                <w:rFonts w:ascii="Arial" w:hAnsi="Arial" w:cs="Arial"/>
                <w:b/>
              </w:rPr>
              <w:t>2. Actions:</w:t>
            </w:r>
          </w:p>
          <w:p>
            <w:pPr>
              <w:spacing w:after="120"/>
              <w:ind w:left="1985" w:hanging="1985"/>
              <w:rPr>
                <w:rFonts w:ascii="Arial" w:hAnsi="Arial" w:cs="Arial"/>
                <w:b/>
                <w:color w:val="000000"/>
              </w:rPr>
            </w:pPr>
            <w:r>
              <w:rPr>
                <w:rFonts w:ascii="Arial" w:hAnsi="Arial" w:cs="Arial"/>
                <w:b/>
                <w:color w:val="000000"/>
              </w:rPr>
              <w:t>To RAN2:</w:t>
            </w:r>
          </w:p>
          <w:p>
            <w:pPr>
              <w:spacing w:after="120" w:afterLines="50"/>
              <w:ind w:left="992" w:hanging="992"/>
              <w:rPr>
                <w:rFonts w:ascii="Arial" w:hAnsi="Arial" w:cs="Arial"/>
                <w:color w:val="000000"/>
              </w:rPr>
            </w:pPr>
            <w:r>
              <w:rPr>
                <w:rFonts w:ascii="Arial" w:hAnsi="Arial" w:cs="Arial"/>
                <w:b/>
                <w:color w:val="000000"/>
              </w:rPr>
              <w:t xml:space="preserve">ACTION: </w:t>
            </w:r>
            <w:r>
              <w:rPr>
                <w:rFonts w:ascii="Arial" w:hAnsi="Arial" w:cs="Arial"/>
                <w:b/>
                <w:color w:val="000000"/>
              </w:rPr>
              <w:tab/>
            </w:r>
            <w:r>
              <w:rPr>
                <w:rFonts w:ascii="Arial" w:hAnsi="Arial" w:cs="Arial"/>
                <w:color w:val="000000"/>
              </w:rPr>
              <w:t>RAN1 respectfully asks RAN2 to take the response into account.</w:t>
            </w:r>
          </w:p>
          <w:p>
            <w:pPr>
              <w:spacing w:after="120"/>
              <w:ind w:left="1985" w:hanging="1985"/>
              <w:rPr>
                <w:rFonts w:ascii="Arial" w:hAnsi="Arial" w:cs="Arial"/>
                <w:b/>
                <w:color w:val="000000"/>
              </w:rPr>
            </w:pPr>
            <w:r>
              <w:rPr>
                <w:rFonts w:ascii="Arial" w:hAnsi="Arial" w:cs="Arial"/>
                <w:b/>
                <w:color w:val="000000"/>
              </w:rPr>
              <w:t>To RAN4:</w:t>
            </w:r>
          </w:p>
          <w:p>
            <w:pPr>
              <w:ind w:left="994" w:hanging="994"/>
              <w:rPr>
                <w:rFonts w:hint="default" w:ascii="Arial" w:hAnsi="Arial" w:cs="Arial"/>
                <w:color w:val="000000"/>
                <w:lang w:val="en-US" w:eastAsia="zh-CN"/>
              </w:rPr>
            </w:pPr>
            <w:r>
              <w:rPr>
                <w:rFonts w:ascii="Arial" w:hAnsi="Arial" w:cs="Arial"/>
                <w:b/>
                <w:color w:val="000000"/>
              </w:rPr>
              <w:t xml:space="preserve">ACTION: </w:t>
            </w:r>
            <w:r>
              <w:rPr>
                <w:rFonts w:ascii="Arial" w:hAnsi="Arial" w:cs="Arial"/>
                <w:b/>
                <w:color w:val="000000"/>
              </w:rPr>
              <w:tab/>
            </w:r>
            <w:r>
              <w:rPr>
                <w:rFonts w:ascii="Arial" w:hAnsi="Arial" w:cs="Arial"/>
                <w:color w:val="000000"/>
              </w:rPr>
              <w:t>RAN1 respectfully asks RAN4 to confirm whether RAN1’s assumptions in Note 1 and Note 2 are valid.</w:t>
            </w:r>
          </w:p>
        </w:tc>
      </w:tr>
    </w:tbl>
    <w:p>
      <w:pPr>
        <w:rPr>
          <w:rFonts w:hint="default" w:eastAsia="宋体" w:cs="Arial"/>
          <w:sz w:val="20"/>
          <w:szCs w:val="20"/>
          <w:lang w:val="en-US" w:eastAsia="zh-CN"/>
        </w:rPr>
      </w:pPr>
      <w:r>
        <w:rPr>
          <w:rFonts w:hint="eastAsia" w:eastAsia="宋体" w:cs="Arial"/>
          <w:sz w:val="20"/>
          <w:szCs w:val="20"/>
          <w:lang w:val="en-US" w:eastAsia="zh-CN"/>
        </w:rPr>
        <w:t>RAN4 reply LS (R4-2414114):</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120"/>
              <w:outlineLvl w:val="0"/>
              <w:rPr>
                <w:rFonts w:ascii="Arial" w:hAnsi="Arial" w:cs="Arial"/>
                <w:b/>
              </w:rPr>
            </w:pPr>
            <w:r>
              <w:rPr>
                <w:rFonts w:ascii="Arial" w:hAnsi="Arial" w:cs="Arial"/>
                <w:b/>
              </w:rPr>
              <w:t>1. Overall Description:</w:t>
            </w:r>
          </w:p>
          <w:p>
            <w:pPr>
              <w:snapToGrid w:val="0"/>
              <w:spacing w:after="120" w:afterLines="50"/>
              <w:jc w:val="both"/>
              <w:rPr>
                <w:rFonts w:hint="eastAsia" w:eastAsia="MS Mincho"/>
                <w:lang w:val="en-US" w:eastAsia="en-GB"/>
              </w:rPr>
            </w:pPr>
            <w:r>
              <w:rPr>
                <w:rFonts w:eastAsia="MS Mincho"/>
                <w:lang w:eastAsia="en-GB"/>
              </w:rPr>
              <w:t xml:space="preserve">RAN4 would like to thank </w:t>
            </w:r>
            <w:r>
              <w:rPr>
                <w:rFonts w:eastAsia="MS Mincho"/>
                <w:lang w:eastAsia="zh-CN"/>
              </w:rPr>
              <w:t>RAN</w:t>
            </w:r>
            <w:r>
              <w:rPr>
                <w:rFonts w:hint="eastAsia" w:eastAsia="MS Mincho"/>
                <w:lang w:val="en-US" w:eastAsia="zh-CN"/>
              </w:rPr>
              <w:t>2</w:t>
            </w:r>
            <w:r>
              <w:rPr>
                <w:rFonts w:eastAsia="MS Mincho"/>
                <w:lang w:eastAsia="en-GB"/>
              </w:rPr>
              <w:t xml:space="preserve"> for t</w:t>
            </w:r>
            <w:r>
              <w:rPr>
                <w:rFonts w:hint="eastAsia" w:eastAsia="MS Mincho"/>
                <w:lang w:val="en-US" w:eastAsia="en-GB"/>
              </w:rPr>
              <w:t xml:space="preserve">he LS </w:t>
            </w:r>
            <w:r>
              <w:rPr>
                <w:rFonts w:eastAsia="MS Mincho"/>
                <w:lang w:eastAsia="en-GB"/>
              </w:rPr>
              <w:t>R2-2</w:t>
            </w:r>
            <w:r>
              <w:rPr>
                <w:rFonts w:hint="eastAsia"/>
                <w:lang w:val="en-US" w:eastAsia="zh-CN"/>
              </w:rPr>
              <w:t>405769</w:t>
            </w:r>
            <w:r>
              <w:rPr>
                <w:rFonts w:hint="eastAsia" w:eastAsia="MS Mincho"/>
                <w:lang w:val="en-US" w:eastAsia="en-GB"/>
              </w:rPr>
              <w:t xml:space="preserve"> on </w:t>
            </w:r>
            <w:r>
              <w:rPr>
                <w:rFonts w:hint="eastAsia" w:eastAsia="MS Mincho"/>
                <w:lang w:val="en-US" w:eastAsia="zh-CN"/>
              </w:rPr>
              <w:t>UL synchronization for contention based Msg3 transmission without Msg1/Msg2</w:t>
            </w:r>
            <w:r>
              <w:rPr>
                <w:rFonts w:hint="eastAsia" w:eastAsia="MS Mincho"/>
                <w:lang w:val="en-US" w:eastAsia="en-GB"/>
              </w:rPr>
              <w:t xml:space="preserve">. </w:t>
            </w:r>
          </w:p>
          <w:p>
            <w:pPr>
              <w:snapToGrid w:val="0"/>
              <w:spacing w:after="120" w:afterLines="50"/>
              <w:jc w:val="both"/>
              <w:rPr>
                <w:rFonts w:hint="eastAsia"/>
                <w:lang w:val="en-US" w:eastAsia="zh-CN"/>
              </w:rPr>
            </w:pPr>
            <w:r>
              <w:rPr>
                <w:rFonts w:hint="eastAsia"/>
                <w:lang w:val="en-US" w:eastAsia="zh-CN"/>
              </w:rPr>
              <w:t>RAN2 asked for RAN4 following questions:</w:t>
            </w:r>
          </w:p>
          <w:p>
            <w:pPr>
              <w:snapToGrid w:val="0"/>
              <w:spacing w:after="120" w:afterLines="50"/>
              <w:jc w:val="both"/>
              <w:rPr>
                <w:rFonts w:hint="eastAsia"/>
                <w:lang w:val="en-US" w:eastAsia="zh-CN"/>
              </w:rPr>
            </w:pPr>
            <w:r>
              <w:rPr>
                <w:rFonts w:hint="eastAsia"/>
                <w:lang w:val="en-US" w:eastAsia="zh-CN"/>
              </w:rPr>
              <w:t xml:space="preserve">Q1: Whether an RRC Idle UE with a pre-compensated TA (i.e., the one used for Msg1 transmission during random access for IoT NTN) can satisfy the required timing accuracy for Msg3 transmission without Msg1/Msg2? </w:t>
            </w:r>
          </w:p>
          <w:p>
            <w:pPr>
              <w:snapToGrid w:val="0"/>
              <w:spacing w:after="120" w:afterLines="50"/>
              <w:jc w:val="both"/>
              <w:rPr>
                <w:rFonts w:hint="eastAsia"/>
                <w:lang w:val="en-US" w:eastAsia="zh-CN"/>
              </w:rPr>
            </w:pPr>
            <w:r>
              <w:rPr>
                <w:rFonts w:hint="eastAsia"/>
                <w:lang w:val="en-US" w:eastAsia="zh-CN"/>
              </w:rPr>
              <w:t>Q2: If the answer for Q1 is no, from RAN4 and RAN1 perspective, how the required timing accuracy for Msg3 transmission can be satisfied in this case?</w:t>
            </w:r>
          </w:p>
          <w:p>
            <w:pPr>
              <w:snapToGrid w:val="0"/>
              <w:spacing w:after="120" w:afterLines="50"/>
              <w:jc w:val="both"/>
              <w:rPr>
                <w:lang w:val="en-US" w:eastAsia="zh-CN"/>
              </w:rPr>
            </w:pPr>
            <w:r>
              <w:rPr>
                <w:rFonts w:hint="eastAsia"/>
                <w:b/>
                <w:bCs/>
                <w:i/>
                <w:iCs/>
                <w:lang w:val="en-US" w:eastAsia="zh-CN"/>
              </w:rPr>
              <w:t>RAN4</w:t>
            </w:r>
            <w:r>
              <w:rPr>
                <w:b/>
                <w:bCs/>
                <w:i/>
                <w:iCs/>
                <w:lang w:val="en-US" w:eastAsia="zh-CN"/>
              </w:rPr>
              <w:t>’</w:t>
            </w:r>
            <w:r>
              <w:rPr>
                <w:rFonts w:hint="eastAsia"/>
                <w:b/>
                <w:bCs/>
                <w:i/>
                <w:iCs/>
                <w:lang w:val="en-US" w:eastAsia="zh-CN"/>
              </w:rPr>
              <w:t>s feedback</w:t>
            </w:r>
            <w:r>
              <w:rPr>
                <w:rFonts w:hint="eastAsia"/>
                <w:lang w:val="en-US" w:eastAsia="zh-CN"/>
              </w:rPr>
              <w:t>:</w:t>
            </w:r>
          </w:p>
          <w:p>
            <w:pPr>
              <w:snapToGrid w:val="0"/>
              <w:spacing w:after="120" w:afterLines="50"/>
              <w:jc w:val="both"/>
              <w:rPr>
                <w:rFonts w:hint="default"/>
                <w:highlight w:val="none"/>
                <w:lang w:val="en-US" w:eastAsia="zh-CN"/>
              </w:rPr>
            </w:pPr>
            <w:r>
              <w:rPr>
                <w:rFonts w:hint="eastAsia"/>
                <w:highlight w:val="none"/>
                <w:lang w:val="en-US" w:eastAsia="zh-CN"/>
              </w:rPr>
              <w:t>For Msg3 transmission without Msg1/Msg2, UE can meet UE UL transmit timing requirements defined for IoT NTN in TS 36.133[attached in Annex] from UE RRM requirement definition point of view.</w:t>
            </w:r>
          </w:p>
          <w:p>
            <w:pPr>
              <w:snapToGrid w:val="0"/>
              <w:spacing w:before="120" w:beforeLines="50" w:after="120" w:afterLines="50"/>
              <w:jc w:val="both"/>
              <w:rPr>
                <w:rFonts w:hint="default"/>
                <w:highlight w:val="none"/>
                <w:lang w:val="en-US" w:eastAsia="zh-CN"/>
              </w:rPr>
            </w:pPr>
            <w:bookmarkStart w:id="3" w:name="OLE_LINK1"/>
            <w:r>
              <w:rPr>
                <w:rFonts w:hint="eastAsia"/>
                <w:highlight w:val="none"/>
                <w:lang w:val="en-US" w:eastAsia="zh-CN"/>
              </w:rPr>
              <w:t>Note 1: RAN4 assumed that N</w:t>
            </w:r>
            <w:r>
              <w:rPr>
                <w:rFonts w:hint="eastAsia"/>
                <w:highlight w:val="none"/>
                <w:vertAlign w:val="subscript"/>
                <w:lang w:val="en-US" w:eastAsia="zh-CN"/>
              </w:rPr>
              <w:t>TA_Ref</w:t>
            </w:r>
            <w:r>
              <w:rPr>
                <w:rFonts w:hint="eastAsia"/>
                <w:highlight w:val="none"/>
                <w:lang w:val="en-US" w:eastAsia="zh-CN"/>
              </w:rPr>
              <w:t xml:space="preserve"> is not configured by the network for MSG3 transmission without Msg1/Msg2. RAN4 will follow the conclusion of the other working groups in the future, if any.</w:t>
            </w:r>
          </w:p>
          <w:p>
            <w:pPr>
              <w:snapToGrid w:val="0"/>
              <w:spacing w:before="120" w:beforeLines="50" w:after="120" w:afterLines="50"/>
              <w:jc w:val="both"/>
              <w:rPr>
                <w:rFonts w:hint="default"/>
                <w:highlight w:val="none"/>
                <w:lang w:val="en-US" w:eastAsia="zh-CN"/>
              </w:rPr>
            </w:pPr>
            <w:r>
              <w:rPr>
                <w:rFonts w:hint="eastAsia"/>
                <w:highlight w:val="none"/>
                <w:lang w:val="en-US" w:eastAsia="zh-CN"/>
              </w:rPr>
              <w:t>Note 2: For NB-IoT with 15kHz SCS, the timing error may be larger than half CP.</w:t>
            </w:r>
          </w:p>
          <w:bookmarkEnd w:id="3"/>
          <w:p>
            <w:pPr>
              <w:spacing w:after="120"/>
              <w:outlineLvl w:val="0"/>
              <w:rPr>
                <w:rFonts w:ascii="Arial" w:hAnsi="Arial" w:cs="Arial"/>
                <w:b/>
              </w:rPr>
            </w:pPr>
          </w:p>
          <w:p>
            <w:pPr>
              <w:spacing w:after="120"/>
              <w:outlineLvl w:val="0"/>
              <w:rPr>
                <w:rFonts w:ascii="Arial" w:hAnsi="Arial" w:cs="Arial"/>
                <w:b/>
              </w:rPr>
            </w:pPr>
            <w:r>
              <w:rPr>
                <w:rFonts w:ascii="Arial" w:hAnsi="Arial" w:cs="Arial"/>
                <w:b/>
              </w:rPr>
              <w:t>2. Actions:</w:t>
            </w:r>
          </w:p>
          <w:p>
            <w:pPr>
              <w:adjustRightInd w:val="0"/>
              <w:snapToGrid w:val="0"/>
              <w:spacing w:before="120" w:after="120" w:afterLines="50"/>
              <w:jc w:val="both"/>
              <w:rPr>
                <w:rFonts w:hint="default" w:eastAsia="宋体" w:cs="Arial"/>
                <w:sz w:val="20"/>
                <w:szCs w:val="20"/>
                <w:vertAlign w:val="baseline"/>
                <w:lang w:val="en-US" w:eastAsia="zh-CN"/>
              </w:rPr>
            </w:pPr>
            <w:r>
              <w:t xml:space="preserve">RAN4 respectfully asks RAN2 to take the above information into account. </w:t>
            </w:r>
          </w:p>
        </w:tc>
      </w:tr>
    </w:tbl>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eastAsia="宋体" w:cs="Arial"/>
          <w:sz w:val="20"/>
          <w:szCs w:val="20"/>
          <w:lang w:val="en-US" w:eastAsia="zh-CN"/>
        </w:rPr>
      </w:pPr>
      <w:r>
        <w:rPr>
          <w:rFonts w:hint="eastAsia" w:eastAsia="宋体" w:cs="Arial"/>
          <w:sz w:val="20"/>
          <w:szCs w:val="20"/>
          <w:lang w:val="en-US" w:eastAsia="zh-CN"/>
        </w:rPr>
        <w:t>Based on the feedback from RAN1/4, the pre-compensated TA could satisfy the required timing accuracy for Msg3 transmission without Msg1/Msg2. Therefore, RAN2 could confirm to continue work on a CB-Msg3 EDT-like mechanism.</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default" w:eastAsia="宋体" w:cs="Arial"/>
          <w:sz w:val="20"/>
          <w:szCs w:val="20"/>
          <w:lang w:val="en-US" w:eastAsia="zh-CN"/>
        </w:rPr>
      </w:pPr>
      <w:r>
        <w:rPr>
          <w:rFonts w:hint="eastAsia" w:eastAsia="宋体" w:cs="Arial"/>
          <w:b/>
          <w:bCs/>
          <w:sz w:val="20"/>
          <w:szCs w:val="20"/>
          <w:lang w:val="en-US" w:eastAsia="zh-CN"/>
        </w:rPr>
        <w:t>Observation 1: Based on the feedback from RAN1/4, the pre-compensated TA could satisfy the required timing accuracy for Msg3 transmission without Msg1/Msg2.</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default" w:cs="Arial"/>
          <w:sz w:val="20"/>
          <w:szCs w:val="20"/>
          <w:lang w:val="en-US" w:eastAsia="zh-CN"/>
        </w:rPr>
      </w:pPr>
      <w:r>
        <w:rPr>
          <w:rFonts w:hint="eastAsia" w:eastAsia="宋体" w:cs="Arial"/>
          <w:b/>
          <w:bCs/>
          <w:sz w:val="20"/>
          <w:szCs w:val="20"/>
          <w:lang w:val="en-US" w:eastAsia="zh-CN"/>
        </w:rPr>
        <w:t>Proposal 1: RAN2 could confirm to continue work on a CB-Msg3 EDT-like mechanism.</w:t>
      </w:r>
    </w:p>
    <w:p>
      <w:pPr>
        <w:pStyle w:val="3"/>
        <w:bidi w:val="0"/>
        <w:rPr>
          <w:rFonts w:hint="default" w:eastAsiaTheme="minorEastAsia"/>
          <w:b/>
          <w:bCs/>
          <w:sz w:val="24"/>
          <w:szCs w:val="24"/>
          <w:u w:val="single"/>
          <w:lang w:val="en-US" w:eastAsia="zh-CN"/>
        </w:rPr>
      </w:pPr>
      <w:r>
        <w:rPr>
          <w:rFonts w:hint="eastAsia" w:eastAsia="宋体" w:cs="Arial"/>
          <w:b/>
          <w:bCs/>
          <w:sz w:val="24"/>
          <w:szCs w:val="24"/>
          <w:lang w:val="en-US" w:eastAsia="zh-CN"/>
        </w:rPr>
        <w:t xml:space="preserve"> Contention-based Msg3 transmission</w:t>
      </w:r>
    </w:p>
    <w:p>
      <w:pPr>
        <w:pStyle w:val="60"/>
        <w:numPr>
          <w:ilvl w:val="0"/>
          <w:numId w:val="0"/>
        </w:numPr>
        <w:overflowPunct w:val="0"/>
        <w:autoSpaceDE w:val="0"/>
        <w:autoSpaceDN w:val="0"/>
        <w:adjustRightInd w:val="0"/>
        <w:spacing w:after="0"/>
        <w:jc w:val="left"/>
        <w:textAlignment w:val="baseline"/>
        <w:rPr>
          <w:rFonts w:hint="eastAsia" w:eastAsia="宋体"/>
          <w:lang w:val="en-US" w:eastAsia="zh-CN"/>
        </w:rPr>
      </w:pPr>
      <w:r>
        <w:rPr>
          <w:rFonts w:hint="eastAsia" w:eastAsiaTheme="minorEastAsia"/>
          <w:b w:val="0"/>
          <w:bCs w:val="0"/>
          <w:sz w:val="20"/>
          <w:szCs w:val="20"/>
          <w:lang w:val="en-US" w:eastAsia="zh-CN"/>
        </w:rPr>
        <w:t>In RAN2 #126 meeting, we agreed to focus on the</w:t>
      </w:r>
      <w:r>
        <w:t xml:space="preserve"> contention-based Msg3 transmission to complete an EDT-like transaction</w:t>
      </w:r>
      <w:r>
        <w:rPr>
          <w:rFonts w:hint="eastAsia" w:eastAsia="宋体"/>
          <w:lang w:val="en-US" w:eastAsia="zh-CN"/>
        </w:rPr>
        <w:t>, however some issues are FFS, FFS on the details of Msg3. FFS on the procedural steps, e.g. how much we reuse of EDT and PUR procedures. FFS on allocation of resources. We would like to provide some analysis for the FFS issues respectively.</w:t>
      </w:r>
    </w:p>
    <w:p>
      <w:pPr>
        <w:pStyle w:val="60"/>
        <w:keepNext w:val="0"/>
        <w:keepLines w:val="0"/>
        <w:pageBreakBefore w:val="0"/>
        <w:widowControl/>
        <w:numPr>
          <w:ilvl w:val="0"/>
          <w:numId w:val="13"/>
        </w:numPr>
        <w:kinsoku/>
        <w:wordWrap/>
        <w:overflowPunct w:val="0"/>
        <w:topLinePunct w:val="0"/>
        <w:autoSpaceDE w:val="0"/>
        <w:autoSpaceDN w:val="0"/>
        <w:bidi w:val="0"/>
        <w:adjustRightInd w:val="0"/>
        <w:snapToGrid/>
        <w:spacing w:after="0"/>
        <w:ind w:left="420" w:leftChars="0" w:hanging="420" w:firstLineChars="0"/>
        <w:jc w:val="left"/>
        <w:textAlignment w:val="baseline"/>
        <w:outlineLvl w:val="2"/>
        <w:rPr>
          <w:rFonts w:hint="default" w:eastAsia="宋体"/>
          <w:b/>
          <w:bCs w:val="0"/>
          <w:i w:val="0"/>
          <w:iCs w:val="0"/>
          <w:lang w:val="en-US" w:eastAsia="zh-CN"/>
        </w:rPr>
      </w:pPr>
      <w:r>
        <w:rPr>
          <w:rFonts w:hint="eastAsia" w:eastAsia="宋体"/>
          <w:b/>
          <w:bCs w:val="0"/>
          <w:i w:val="0"/>
          <w:iCs w:val="0"/>
          <w:lang w:val="en-US" w:eastAsia="zh-CN"/>
        </w:rPr>
        <w:t>Msg3 details</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eastAsia" w:eastAsia="宋体"/>
          <w:b w:val="0"/>
          <w:bCs/>
          <w:i w:val="0"/>
          <w:iCs w:val="0"/>
          <w:lang w:val="en-US" w:eastAsia="zh-CN"/>
        </w:rPr>
        <w:t>In the current TS 36.300, MO-EDT is triggered when the upper layers have requested the establishment or resumption of the RRC Connection for Mobile Originated data (i.e., not signalling or SMS) and the uplink data size is less than or equal to a TB size indicated in the system information.</w:t>
      </w:r>
    </w:p>
    <w:p>
      <w:pPr>
        <w:pStyle w:val="60"/>
        <w:numPr>
          <w:ilvl w:val="0"/>
          <w:numId w:val="0"/>
        </w:numPr>
        <w:overflowPunct w:val="0"/>
        <w:autoSpaceDE w:val="0"/>
        <w:autoSpaceDN w:val="0"/>
        <w:adjustRightInd w:val="0"/>
        <w:spacing w:after="0"/>
        <w:jc w:val="left"/>
        <w:textAlignment w:val="baseline"/>
        <w:rPr>
          <w:rFonts w:hint="default" w:eastAsia="宋体"/>
          <w:b/>
          <w:bCs w:val="0"/>
          <w:i w:val="0"/>
          <w:iCs w:val="0"/>
          <w:lang w:val="en-US" w:eastAsia="zh-CN"/>
        </w:rPr>
      </w:pPr>
      <w:r>
        <w:rPr>
          <w:rFonts w:hint="eastAsia" w:eastAsia="宋体"/>
          <w:b/>
          <w:bCs w:val="0"/>
          <w:i w:val="0"/>
          <w:iCs w:val="0"/>
          <w:lang w:val="en-US" w:eastAsia="zh-CN"/>
        </w:rPr>
        <w:t>Observation 2: There are two types of trigger conditions for existing MO-EDT, that is request the establishment or resumption of the RRC Connection for Mobile Originated data by upper layers and whether the the uplink data size is less than or equal to a TB size indicated in the system information.</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eastAsia" w:eastAsia="宋体"/>
          <w:b w:val="0"/>
          <w:bCs/>
          <w:i w:val="0"/>
          <w:iCs w:val="0"/>
          <w:lang w:val="en-US" w:eastAsia="zh-CN"/>
        </w:rPr>
        <w:t xml:space="preserve">For </w:t>
      </w:r>
      <w:r>
        <w:t>contention-based Msg3 transmission</w:t>
      </w:r>
      <w:r>
        <w:rPr>
          <w:rFonts w:hint="eastAsia" w:eastAsia="宋体"/>
          <w:lang w:val="en-US" w:eastAsia="zh-CN"/>
        </w:rPr>
        <w:t xml:space="preserve"> for EDT in IoT-NTN, the trigger condition may at least support the </w:t>
      </w:r>
      <w:r>
        <w:rPr>
          <w:rFonts w:hint="eastAsia" w:eastAsia="宋体"/>
          <w:b w:val="0"/>
          <w:bCs/>
          <w:i w:val="0"/>
          <w:iCs w:val="0"/>
          <w:lang w:val="en-US" w:eastAsia="zh-CN"/>
        </w:rPr>
        <w:t>establishment or resumption of the RRC Connection requested by the upper layers. Then for uplink data size whether less than or equal to a TB size indicated in the SI could be postponed until how to provide uplink resource for Msg3 transmission without Msg1/Msg2 make more detail progress.</w:t>
      </w:r>
    </w:p>
    <w:p>
      <w:pPr>
        <w:pStyle w:val="60"/>
        <w:numPr>
          <w:ilvl w:val="0"/>
          <w:numId w:val="0"/>
        </w:numPr>
        <w:overflowPunct w:val="0"/>
        <w:autoSpaceDE w:val="0"/>
        <w:autoSpaceDN w:val="0"/>
        <w:adjustRightInd w:val="0"/>
        <w:spacing w:after="0"/>
        <w:jc w:val="left"/>
        <w:textAlignment w:val="baseline"/>
        <w:rPr>
          <w:rFonts w:hint="default" w:eastAsia="宋体"/>
          <w:b/>
          <w:bCs w:val="0"/>
          <w:i w:val="0"/>
          <w:iCs w:val="0"/>
          <w:lang w:val="en-US" w:eastAsia="zh-CN"/>
        </w:rPr>
      </w:pPr>
      <w:r>
        <w:rPr>
          <w:rFonts w:hint="eastAsia" w:eastAsia="宋体"/>
          <w:b/>
          <w:bCs w:val="0"/>
          <w:i w:val="0"/>
          <w:iCs w:val="0"/>
          <w:lang w:val="en-US" w:eastAsia="zh-CN"/>
        </w:rPr>
        <w:t>Proposal 2: For the trigger of contention-based Msg3 transmission in IoT-NTN, it is at least to support the establishment or resumption of the RRC Connection requested by the upper layers.</w:t>
      </w:r>
    </w:p>
    <w:p>
      <w:pPr>
        <w:pStyle w:val="60"/>
        <w:numPr>
          <w:ilvl w:val="0"/>
          <w:numId w:val="0"/>
        </w:numPr>
        <w:overflowPunct w:val="0"/>
        <w:autoSpaceDE w:val="0"/>
        <w:autoSpaceDN w:val="0"/>
        <w:adjustRightInd w:val="0"/>
        <w:spacing w:after="0"/>
        <w:jc w:val="left"/>
        <w:textAlignment w:val="baseline"/>
        <w:rPr>
          <w:rFonts w:hint="eastAsia" w:eastAsia="宋体"/>
          <w:b/>
          <w:bCs w:val="0"/>
          <w:i w:val="0"/>
          <w:iCs w:val="0"/>
          <w:lang w:val="en-US" w:eastAsia="zh-CN"/>
        </w:rPr>
      </w:pP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eastAsia" w:eastAsia="宋体"/>
          <w:b w:val="0"/>
          <w:bCs/>
          <w:i w:val="0"/>
          <w:iCs w:val="0"/>
          <w:lang w:val="en-US" w:eastAsia="zh-CN"/>
        </w:rPr>
        <w:t xml:space="preserve">Per the existing MO-EDT, Msg3 includes </w:t>
      </w:r>
      <w:r>
        <w:rPr>
          <w:rFonts w:ascii="Arial" w:hAnsi="Arial" w:eastAsia="宋体" w:cs="Arial"/>
          <w:i/>
          <w:iCs/>
          <w:lang w:val="en-US" w:eastAsia="zh-CN"/>
        </w:rPr>
        <w:t>RRCEarlyDataRequest</w:t>
      </w:r>
      <w:r>
        <w:rPr>
          <w:rFonts w:ascii="Arial" w:hAnsi="Arial" w:eastAsia="宋体" w:cs="Arial"/>
          <w:lang w:val="en-US" w:eastAsia="zh-CN"/>
        </w:rPr>
        <w:t xml:space="preserve"> message concatenating the user data on CCCH</w:t>
      </w:r>
      <w:r>
        <w:rPr>
          <w:rFonts w:hint="eastAsia" w:eastAsia="宋体" w:cs="Arial"/>
          <w:lang w:val="en-US" w:eastAsia="zh-CN"/>
        </w:rPr>
        <w:t xml:space="preserve"> or </w:t>
      </w:r>
      <w:r>
        <w:rPr>
          <w:rFonts w:hint="eastAsia" w:eastAsia="宋体" w:cs="Arial"/>
          <w:i/>
          <w:iCs/>
          <w:lang w:val="en-US" w:eastAsia="zh-CN"/>
        </w:rPr>
        <w:t>RRCConnectionResumeRequest</w:t>
      </w:r>
      <w:r>
        <w:rPr>
          <w:rFonts w:hint="eastAsia" w:eastAsia="宋体" w:cs="Arial"/>
          <w:lang w:val="en-US" w:eastAsia="zh-CN"/>
        </w:rPr>
        <w:t xml:space="preserve"> message on CCCH multiplexed with uplink user data on DTCH for </w:t>
      </w:r>
      <w:r>
        <w:rPr>
          <w:rFonts w:ascii="Arial" w:hAnsi="Arial" w:eastAsia="宋体" w:cs="Arial"/>
          <w:lang w:val="en-US" w:eastAsia="zh-CN"/>
        </w:rPr>
        <w:t>Control Plane CIoT EPS</w:t>
      </w:r>
      <w:r>
        <w:rPr>
          <w:rFonts w:hint="eastAsia" w:eastAsia="宋体" w:cs="Arial"/>
          <w:lang w:val="en-US" w:eastAsia="zh-CN"/>
        </w:rPr>
        <w:t xml:space="preserve"> </w:t>
      </w:r>
      <w:r>
        <w:rPr>
          <w:rFonts w:ascii="Arial" w:hAnsi="Arial" w:eastAsia="宋体" w:cs="Arial"/>
          <w:lang w:val="en-US" w:eastAsia="zh-CN"/>
        </w:rPr>
        <w:t>Optimisations</w:t>
      </w:r>
      <w:r>
        <w:rPr>
          <w:rFonts w:hint="eastAsia" w:eastAsia="宋体" w:cs="Arial"/>
          <w:lang w:val="en-US" w:eastAsia="zh-CN"/>
        </w:rPr>
        <w:t xml:space="preserve"> and </w:t>
      </w:r>
      <w:r>
        <w:rPr>
          <w:rFonts w:ascii="Arial" w:hAnsi="Arial" w:eastAsia="宋体" w:cs="Arial"/>
          <w:lang w:val="en-US" w:eastAsia="zh-CN"/>
        </w:rPr>
        <w:t>User Plane CIoT EPS</w:t>
      </w:r>
      <w:r>
        <w:rPr>
          <w:rFonts w:hint="eastAsia" w:eastAsia="宋体" w:cs="Arial"/>
          <w:lang w:val="en-US" w:eastAsia="zh-CN"/>
        </w:rPr>
        <w:t xml:space="preserve"> </w:t>
      </w:r>
      <w:r>
        <w:rPr>
          <w:rFonts w:ascii="Arial" w:hAnsi="Arial" w:eastAsia="宋体" w:cs="Arial"/>
          <w:lang w:val="en-US" w:eastAsia="zh-CN"/>
        </w:rPr>
        <w:t>Optimisations</w:t>
      </w:r>
      <w:r>
        <w:rPr>
          <w:rFonts w:hint="eastAsia" w:eastAsia="宋体" w:cs="Arial"/>
          <w:lang w:val="en-US" w:eastAsia="zh-CN"/>
        </w:rPr>
        <w:t xml:space="preserve"> respectively. Then for the Msg3 content in </w:t>
      </w:r>
      <w:r>
        <w:t>contention-based Msg3 transmission</w:t>
      </w:r>
      <w:r>
        <w:rPr>
          <w:rFonts w:hint="eastAsia" w:eastAsia="宋体"/>
          <w:lang w:val="en-US" w:eastAsia="zh-CN"/>
        </w:rPr>
        <w:t xml:space="preserve"> for EDT in IoT-NTN, the Msg3 content in current MO-EDT could be the baseline.</w:t>
      </w:r>
    </w:p>
    <w:p>
      <w:pPr>
        <w:pStyle w:val="60"/>
        <w:numPr>
          <w:ilvl w:val="0"/>
          <w:numId w:val="0"/>
        </w:numPr>
        <w:overflowPunct w:val="0"/>
        <w:autoSpaceDE w:val="0"/>
        <w:autoSpaceDN w:val="0"/>
        <w:adjustRightInd w:val="0"/>
        <w:spacing w:after="0"/>
        <w:jc w:val="left"/>
        <w:textAlignment w:val="baseline"/>
        <w:rPr>
          <w:rFonts w:hint="eastAsia" w:eastAsia="宋体"/>
          <w:b/>
          <w:bCs w:val="0"/>
          <w:i w:val="0"/>
          <w:iCs w:val="0"/>
          <w:lang w:val="en-US" w:eastAsia="zh-CN"/>
        </w:rPr>
      </w:pPr>
      <w:r>
        <w:rPr>
          <w:rFonts w:hint="eastAsia" w:eastAsia="宋体"/>
          <w:b/>
          <w:bCs w:val="0"/>
          <w:i w:val="0"/>
          <w:iCs w:val="0"/>
          <w:lang w:val="en-US" w:eastAsia="zh-CN"/>
        </w:rPr>
        <w:t>Proposal 3: For the Msg3 content in contention-based Msg3 transmission for EDT in IoT-NTN, the Msg3 content in current MO-EDT could be the baseline.</w:t>
      </w:r>
    </w:p>
    <w:p>
      <w:pPr>
        <w:pStyle w:val="60"/>
        <w:numPr>
          <w:ilvl w:val="0"/>
          <w:numId w:val="0"/>
        </w:numPr>
        <w:overflowPunct w:val="0"/>
        <w:autoSpaceDE w:val="0"/>
        <w:autoSpaceDN w:val="0"/>
        <w:adjustRightInd w:val="0"/>
        <w:spacing w:after="0"/>
        <w:jc w:val="left"/>
        <w:textAlignment w:val="baseline"/>
        <w:rPr>
          <w:rFonts w:hint="eastAsia" w:eastAsia="宋体"/>
          <w:b/>
          <w:bCs w:val="0"/>
          <w:i w:val="0"/>
          <w:iCs w:val="0"/>
          <w:lang w:val="en-US" w:eastAsia="zh-CN"/>
        </w:rPr>
      </w:pPr>
    </w:p>
    <w:p>
      <w:pPr>
        <w:pStyle w:val="60"/>
        <w:keepNext w:val="0"/>
        <w:keepLines w:val="0"/>
        <w:pageBreakBefore w:val="0"/>
        <w:widowControl/>
        <w:numPr>
          <w:ilvl w:val="0"/>
          <w:numId w:val="13"/>
        </w:numPr>
        <w:kinsoku/>
        <w:wordWrap/>
        <w:overflowPunct w:val="0"/>
        <w:topLinePunct w:val="0"/>
        <w:autoSpaceDE w:val="0"/>
        <w:autoSpaceDN w:val="0"/>
        <w:bidi w:val="0"/>
        <w:adjustRightInd w:val="0"/>
        <w:snapToGrid/>
        <w:spacing w:after="0"/>
        <w:ind w:left="420" w:leftChars="0" w:hanging="420" w:firstLineChars="0"/>
        <w:jc w:val="left"/>
        <w:textAlignment w:val="baseline"/>
        <w:outlineLvl w:val="2"/>
        <w:rPr>
          <w:rFonts w:hint="default" w:eastAsia="宋体"/>
          <w:b/>
          <w:bCs w:val="0"/>
          <w:i w:val="0"/>
          <w:iCs w:val="0"/>
          <w:lang w:val="en-US" w:eastAsia="zh-CN"/>
        </w:rPr>
      </w:pPr>
      <w:r>
        <w:rPr>
          <w:rFonts w:hint="eastAsia" w:eastAsia="宋体"/>
          <w:b/>
          <w:bCs w:val="0"/>
          <w:i w:val="0"/>
          <w:iCs w:val="0"/>
          <w:lang w:val="en-US" w:eastAsia="zh-CN"/>
        </w:rPr>
        <w:t>Resource allocation</w:t>
      </w:r>
    </w:p>
    <w:p>
      <w:pPr>
        <w:pStyle w:val="60"/>
        <w:spacing w:after="0"/>
        <w:ind w:left="0" w:firstLine="0"/>
        <w:rPr>
          <w:rFonts w:hint="eastAsia" w:eastAsia="宋体"/>
          <w:bCs/>
          <w:lang w:val="en-US" w:eastAsia="zh-CN"/>
        </w:rPr>
      </w:pPr>
      <w:r>
        <w:rPr>
          <w:rFonts w:hint="eastAsia" w:eastAsiaTheme="minorEastAsia"/>
          <w:b w:val="0"/>
          <w:bCs w:val="0"/>
          <w:sz w:val="20"/>
          <w:szCs w:val="20"/>
          <w:lang w:val="en-US" w:eastAsia="zh-CN"/>
        </w:rPr>
        <w:t xml:space="preserve">To increase the UL system capacity, solutions reducing the reliance on DL signaling could be discussed. Some existing solution such as preconfigured uplink resource (PUR) could be considered. However, the existing PUR scheme is contention free shared (CFS) and needs to reserve resources for a given UE, which only supports a limited number of pre-configured UL transmission, having an impact on the potential gains as well as network capacity available to other UEs. To resolve the issue, a contention based PUR solution could be discussed. Network broadcasts one or several shared PUR pool(s) in a cell, then all the UEs in the cell select the UL resources in the PUR pool(s) randomly. Further, with the shared PUR pool(s), UE could perform EDT procedure </w:t>
      </w:r>
      <w:r>
        <w:rPr>
          <w:bCs/>
        </w:rPr>
        <w:t>without msg1/RAR</w:t>
      </w:r>
      <w:r>
        <w:rPr>
          <w:rFonts w:hint="eastAsia" w:eastAsia="宋体"/>
          <w:bCs/>
          <w:lang w:val="en-US" w:eastAsia="zh-CN"/>
        </w:rPr>
        <w:t>, that is to transmit msg3 directly to the network.</w:t>
      </w:r>
    </w:p>
    <w:p>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Proposal 4: For resource allocation, one or more contention-based PUR pool(s) could be configured via broadcast manner.</w:t>
      </w:r>
    </w:p>
    <w:p>
      <w:pPr>
        <w:pStyle w:val="60"/>
        <w:numPr>
          <w:ilvl w:val="0"/>
          <w:numId w:val="0"/>
        </w:numPr>
        <w:overflowPunct w:val="0"/>
        <w:autoSpaceDE w:val="0"/>
        <w:autoSpaceDN w:val="0"/>
        <w:adjustRightInd w:val="0"/>
        <w:spacing w:after="0"/>
        <w:jc w:val="left"/>
        <w:textAlignment w:val="baseline"/>
        <w:rPr>
          <w:rFonts w:hint="eastAsia" w:eastAsia="宋体"/>
          <w:b/>
          <w:bCs w:val="0"/>
          <w:i w:val="0"/>
          <w:iCs w:val="0"/>
          <w:lang w:val="en-US" w:eastAsia="zh-CN"/>
        </w:rPr>
      </w:pPr>
    </w:p>
    <w:p>
      <w:pPr>
        <w:pStyle w:val="60"/>
        <w:keepNext w:val="0"/>
        <w:keepLines w:val="0"/>
        <w:pageBreakBefore w:val="0"/>
        <w:widowControl/>
        <w:numPr>
          <w:ilvl w:val="0"/>
          <w:numId w:val="13"/>
        </w:numPr>
        <w:kinsoku/>
        <w:wordWrap/>
        <w:overflowPunct w:val="0"/>
        <w:topLinePunct w:val="0"/>
        <w:autoSpaceDE w:val="0"/>
        <w:autoSpaceDN w:val="0"/>
        <w:bidi w:val="0"/>
        <w:adjustRightInd w:val="0"/>
        <w:snapToGrid/>
        <w:spacing w:after="0"/>
        <w:ind w:left="420" w:leftChars="0" w:hanging="420" w:firstLineChars="0"/>
        <w:jc w:val="left"/>
        <w:textAlignment w:val="baseline"/>
        <w:outlineLvl w:val="2"/>
        <w:rPr>
          <w:rFonts w:hint="default" w:eastAsia="宋体"/>
          <w:b/>
          <w:bCs w:val="0"/>
          <w:i w:val="0"/>
          <w:iCs w:val="0"/>
          <w:lang w:val="en-US" w:eastAsia="zh-CN"/>
        </w:rPr>
      </w:pPr>
      <w:r>
        <w:rPr>
          <w:rFonts w:hint="eastAsia" w:eastAsia="宋体"/>
          <w:b/>
          <w:bCs w:val="0"/>
          <w:i w:val="0"/>
          <w:iCs w:val="0"/>
          <w:lang w:val="en-US" w:eastAsia="zh-CN"/>
        </w:rPr>
        <w:t>Contention Resolution</w:t>
      </w:r>
    </w:p>
    <w:p>
      <w:pPr>
        <w:pStyle w:val="60"/>
        <w:spacing w:after="0"/>
        <w:ind w:left="0" w:firstLine="0"/>
        <w:rPr>
          <w:rFonts w:hint="default" w:eastAsia="宋体"/>
          <w:lang w:val="en-US" w:eastAsia="zh-CN"/>
        </w:rPr>
      </w:pPr>
      <w:r>
        <w:rPr>
          <w:rFonts w:hint="eastAsia" w:eastAsia="宋体"/>
          <w:bCs/>
          <w:lang w:val="en-US" w:eastAsia="zh-CN"/>
        </w:rPr>
        <w:t xml:space="preserve">However, with </w:t>
      </w:r>
      <w:r>
        <w:rPr>
          <w:rFonts w:hint="eastAsia" w:eastAsiaTheme="minorEastAsia"/>
          <w:b w:val="0"/>
          <w:bCs w:val="0"/>
          <w:sz w:val="20"/>
          <w:szCs w:val="20"/>
          <w:lang w:val="en-US" w:eastAsia="zh-CN"/>
        </w:rPr>
        <w:t>contention based shared PUR resource, obviously, there will still be a collision issue. And we could consider a similar c</w:t>
      </w:r>
      <w:r>
        <w:rPr>
          <w:lang w:eastAsia="ko-KR"/>
        </w:rPr>
        <w:t xml:space="preserve">ontention </w:t>
      </w:r>
      <w:r>
        <w:rPr>
          <w:rFonts w:hint="eastAsia" w:eastAsia="宋体"/>
          <w:lang w:val="en-US" w:eastAsia="zh-CN"/>
        </w:rPr>
        <w:t>r</w:t>
      </w:r>
      <w:r>
        <w:rPr>
          <w:lang w:eastAsia="ko-KR"/>
        </w:rPr>
        <w:t>esolution</w:t>
      </w:r>
      <w:r>
        <w:rPr>
          <w:rFonts w:hint="eastAsia" w:eastAsia="宋体"/>
          <w:lang w:val="en-US" w:eastAsia="zh-CN"/>
        </w:rPr>
        <w:t xml:space="preserve"> scheme in CBRA procedure. In detail, network receives the CCCH SDU included in the Msg3 and transmitted Msg4 carrying a </w:t>
      </w:r>
      <w:r>
        <w:rPr>
          <w:lang w:eastAsia="ko-KR"/>
        </w:rPr>
        <w:t>UE Contention Resolution Identity MAC CE</w:t>
      </w:r>
      <w:r>
        <w:rPr>
          <w:rFonts w:hint="eastAsia" w:eastAsia="宋体"/>
          <w:lang w:val="en-US" w:eastAsia="zh-CN"/>
        </w:rPr>
        <w:t xml:space="preserve">. If the UE Contention Resolution Identity in the MAC CE matches the 48 first bits of the CCCH SDU transmitted in Msg3, this </w:t>
      </w:r>
      <w:r>
        <w:rPr>
          <w:lang w:eastAsia="ko-KR"/>
        </w:rPr>
        <w:t>Contention Resolution</w:t>
      </w:r>
      <w:r>
        <w:rPr>
          <w:rFonts w:hint="eastAsia" w:eastAsia="宋体"/>
          <w:lang w:val="en-US" w:eastAsia="zh-CN"/>
        </w:rPr>
        <w:t xml:space="preserve"> could be considered successfully.</w:t>
      </w:r>
    </w:p>
    <w:p>
      <w:pPr>
        <w:pStyle w:val="60"/>
        <w:spacing w:after="0"/>
        <w:ind w:left="0" w:firstLine="0"/>
        <w:rPr>
          <w:rFonts w:hint="eastAsia" w:eastAsia="宋体"/>
          <w:lang w:val="en-US" w:eastAsia="zh-CN"/>
        </w:rPr>
      </w:pPr>
      <w:r>
        <w:rPr>
          <w:rFonts w:hint="eastAsia" w:eastAsia="宋体"/>
          <w:b/>
          <w:bCs w:val="0"/>
          <w:i w:val="0"/>
          <w:iCs w:val="0"/>
          <w:lang w:val="en-US" w:eastAsia="zh-CN"/>
        </w:rPr>
        <w:t>Proposal 5: A similar contention resolution scheme in CBRA procedure (i.e. whether Msg4 carrying a UE Contention Resolution Identity matches the 48 first bits of the CCCH SDU transmitted in Msg3) could be considered as the baseline to resolve the collision issue of EDT based on CBS PUR.</w:t>
      </w:r>
    </w:p>
    <w:p>
      <w:pPr>
        <w:pStyle w:val="60"/>
        <w:numPr>
          <w:ilvl w:val="0"/>
          <w:numId w:val="0"/>
        </w:numPr>
        <w:overflowPunct w:val="0"/>
        <w:autoSpaceDE w:val="0"/>
        <w:autoSpaceDN w:val="0"/>
        <w:adjustRightInd w:val="0"/>
        <w:spacing w:after="0"/>
        <w:jc w:val="left"/>
        <w:textAlignment w:val="baseline"/>
        <w:rPr>
          <w:rFonts w:hint="eastAsia" w:eastAsia="宋体"/>
          <w:b/>
          <w:bCs w:val="0"/>
          <w:i w:val="0"/>
          <w:iCs w:val="0"/>
          <w:lang w:val="en-US" w:eastAsia="zh-CN"/>
        </w:rPr>
      </w:pPr>
    </w:p>
    <w:p>
      <w:pPr>
        <w:pStyle w:val="60"/>
        <w:keepNext w:val="0"/>
        <w:keepLines w:val="0"/>
        <w:pageBreakBefore w:val="0"/>
        <w:widowControl/>
        <w:numPr>
          <w:ilvl w:val="0"/>
          <w:numId w:val="13"/>
        </w:numPr>
        <w:kinsoku/>
        <w:wordWrap/>
        <w:overflowPunct w:val="0"/>
        <w:topLinePunct w:val="0"/>
        <w:autoSpaceDE w:val="0"/>
        <w:autoSpaceDN w:val="0"/>
        <w:bidi w:val="0"/>
        <w:adjustRightInd w:val="0"/>
        <w:snapToGrid/>
        <w:spacing w:after="0"/>
        <w:ind w:left="420" w:leftChars="0" w:hanging="420" w:firstLineChars="0"/>
        <w:jc w:val="left"/>
        <w:textAlignment w:val="baseline"/>
        <w:outlineLvl w:val="2"/>
        <w:rPr>
          <w:rFonts w:hint="default" w:eastAsia="宋体"/>
          <w:b/>
          <w:bCs w:val="0"/>
          <w:i w:val="0"/>
          <w:iCs w:val="0"/>
          <w:lang w:val="en-US" w:eastAsia="zh-CN"/>
        </w:rPr>
      </w:pPr>
      <w:r>
        <w:rPr>
          <w:rFonts w:hint="eastAsia" w:eastAsia="宋体"/>
          <w:b/>
          <w:bCs w:val="0"/>
          <w:i w:val="0"/>
          <w:iCs w:val="0"/>
          <w:lang w:val="en-US" w:eastAsia="zh-CN"/>
        </w:rPr>
        <w:t>Procedural step</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eastAsia" w:eastAsia="宋体"/>
          <w:b w:val="0"/>
          <w:bCs/>
          <w:i w:val="0"/>
          <w:iCs w:val="0"/>
          <w:lang w:val="en-US" w:eastAsia="zh-CN"/>
        </w:rPr>
        <w:t>Based on above, procedure combination EDT and contention-based PUR for Control Plane CIoT EPS Optimisations and User Plane CIoT EPS Optimisation are provided as following respectively:</w:t>
      </w:r>
    </w:p>
    <w:p>
      <w:pPr>
        <w:pStyle w:val="60"/>
        <w:numPr>
          <w:ilvl w:val="0"/>
          <w:numId w:val="0"/>
        </w:numPr>
        <w:overflowPunct w:val="0"/>
        <w:autoSpaceDE w:val="0"/>
        <w:autoSpaceDN w:val="0"/>
        <w:adjustRightInd w:val="0"/>
        <w:spacing w:after="0"/>
        <w:jc w:val="center"/>
        <w:textAlignment w:val="baseline"/>
        <w:rPr>
          <w:rFonts w:hint="default" w:eastAsia="宋体"/>
          <w:b w:val="0"/>
          <w:bCs/>
          <w:i w:val="0"/>
          <w:iCs w:val="0"/>
          <w:lang w:val="en-US" w:eastAsia="zh-CN"/>
        </w:rPr>
      </w:pPr>
      <w:r>
        <w:rPr>
          <w:rFonts w:hint="default" w:eastAsia="宋体"/>
          <w:b w:val="0"/>
          <w:bCs/>
          <w:i w:val="0"/>
          <w:iCs w:val="0"/>
          <w:lang w:val="en-US" w:eastAsia="zh-CN"/>
        </w:rPr>
        <w:drawing>
          <wp:inline distT="0" distB="0" distL="114300" distR="114300">
            <wp:extent cx="6118225" cy="2819400"/>
            <wp:effectExtent l="0" t="0" r="15875" b="0"/>
            <wp:docPr id="1" name="图片 1" descr="EDT C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DT CP "/>
                    <pic:cNvPicPr>
                      <a:picLocks noChangeAspect="1"/>
                    </pic:cNvPicPr>
                  </pic:nvPicPr>
                  <pic:blipFill>
                    <a:blip r:embed="rId11"/>
                    <a:stretch>
                      <a:fillRect/>
                    </a:stretch>
                  </pic:blipFill>
                  <pic:spPr>
                    <a:xfrm>
                      <a:off x="0" y="0"/>
                      <a:ext cx="6118225" cy="2819400"/>
                    </a:xfrm>
                    <a:prstGeom prst="rect">
                      <a:avLst/>
                    </a:prstGeom>
                  </pic:spPr>
                </pic:pic>
              </a:graphicData>
            </a:graphic>
          </wp:inline>
        </w:drawing>
      </w:r>
    </w:p>
    <w:p>
      <w:pPr>
        <w:pStyle w:val="74"/>
      </w:pPr>
      <w:r>
        <w:t xml:space="preserve">Figure </w:t>
      </w:r>
      <w:r>
        <w:rPr>
          <w:rFonts w:hint="eastAsia" w:eastAsia="宋体"/>
          <w:lang w:val="en-US" w:eastAsia="zh-CN"/>
        </w:rPr>
        <w:t>1</w:t>
      </w:r>
      <w:r>
        <w:t>: Transmission using PUR for the Control Plane CIoT EPS Optimisations</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eastAsia" w:eastAsia="宋体"/>
          <w:b w:val="0"/>
          <w:bCs/>
          <w:i w:val="0"/>
          <w:iCs w:val="0"/>
          <w:lang w:val="en-US" w:eastAsia="zh-CN"/>
        </w:rPr>
        <w:t>0.</w:t>
      </w:r>
      <w:r>
        <w:rPr>
          <w:rFonts w:hint="eastAsia" w:eastAsia="宋体"/>
          <w:b w:val="0"/>
          <w:bCs/>
          <w:i w:val="0"/>
          <w:iCs w:val="0"/>
          <w:lang w:val="en-US" w:eastAsia="zh-CN"/>
        </w:rPr>
        <w:tab/>
      </w:r>
      <w:r>
        <w:rPr>
          <w:rFonts w:hint="eastAsia" w:eastAsia="宋体"/>
          <w:b w:val="0"/>
          <w:bCs/>
          <w:i w:val="0"/>
          <w:iCs w:val="0"/>
          <w:lang w:val="en-US" w:eastAsia="zh-CN"/>
        </w:rPr>
        <w:t>Network provides shared PUR pool(s) configuration via SIBxx for the UEs in the cell</w:t>
      </w:r>
      <w:r>
        <w:rPr>
          <w:rFonts w:hint="default" w:eastAsia="宋体"/>
          <w:b w:val="0"/>
          <w:bCs/>
          <w:i w:val="0"/>
          <w:iCs w:val="0"/>
          <w:lang w:val="en-US" w:eastAsia="zh-CN"/>
        </w:rPr>
        <w:t>.</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1</w:t>
      </w:r>
      <w:r>
        <w:rPr>
          <w:rFonts w:hint="default" w:eastAsia="宋体"/>
          <w:b w:val="0"/>
          <w:bCs/>
          <w:i w:val="0"/>
          <w:iCs w:val="0"/>
          <w:lang w:val="en-US" w:eastAsia="zh-CN"/>
        </w:rPr>
        <w:tab/>
      </w:r>
      <w:r>
        <w:rPr>
          <w:rFonts w:hint="default" w:eastAsia="宋体"/>
          <w:b w:val="0"/>
          <w:bCs/>
          <w:i w:val="0"/>
          <w:iCs w:val="0"/>
          <w:lang w:val="en-US" w:eastAsia="zh-CN"/>
        </w:rPr>
        <w:t>Same as step 1 in MO-EDT for Control Plane CIoT EPS optimisations in Figure 7.3b-1</w:t>
      </w:r>
      <w:r>
        <w:rPr>
          <w:rFonts w:hint="eastAsia" w:eastAsia="宋体"/>
          <w:b w:val="0"/>
          <w:bCs/>
          <w:i w:val="0"/>
          <w:iCs w:val="0"/>
          <w:lang w:val="en-US" w:eastAsia="zh-CN"/>
        </w:rPr>
        <w:t xml:space="preserve"> </w:t>
      </w:r>
      <w:r>
        <w:rPr>
          <w:rFonts w:hint="default" w:eastAsia="宋体"/>
          <w:b w:val="0"/>
          <w:bCs/>
          <w:i w:val="0"/>
          <w:iCs w:val="0"/>
          <w:lang w:val="en-US" w:eastAsia="zh-CN"/>
        </w:rPr>
        <w:t xml:space="preserve">except that the UE transmits over the </w:t>
      </w:r>
      <w:r>
        <w:rPr>
          <w:rFonts w:hint="eastAsia" w:eastAsia="宋体"/>
          <w:b w:val="0"/>
          <w:bCs/>
          <w:i w:val="0"/>
          <w:iCs w:val="0"/>
          <w:lang w:val="en-US" w:eastAsia="zh-CN"/>
        </w:rPr>
        <w:t xml:space="preserve">shared </w:t>
      </w:r>
      <w:r>
        <w:rPr>
          <w:rFonts w:hint="default" w:eastAsia="宋体"/>
          <w:b w:val="0"/>
          <w:bCs/>
          <w:i w:val="0"/>
          <w:iCs w:val="0"/>
          <w:lang w:val="en-US" w:eastAsia="zh-CN"/>
        </w:rPr>
        <w:t>PUR resource instead of a resource allocated in the random access response.</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ab/>
      </w:r>
      <w:r>
        <w:rPr>
          <w:rFonts w:hint="default" w:eastAsia="宋体"/>
          <w:b w:val="0"/>
          <w:bCs/>
          <w:i w:val="0"/>
          <w:iCs w:val="0"/>
          <w:lang w:val="en-US" w:eastAsia="zh-CN"/>
        </w:rPr>
        <w:t xml:space="preserve">If the uplink data are too large to be included in RRCEarlyDataRequest, the UE can use the </w:t>
      </w:r>
      <w:r>
        <w:rPr>
          <w:rFonts w:hint="eastAsia" w:eastAsia="宋体"/>
          <w:b w:val="0"/>
          <w:bCs/>
          <w:i w:val="0"/>
          <w:iCs w:val="0"/>
          <w:lang w:val="en-US" w:eastAsia="zh-CN"/>
        </w:rPr>
        <w:t xml:space="preserve">shared </w:t>
      </w:r>
      <w:r>
        <w:rPr>
          <w:rFonts w:hint="default" w:eastAsia="宋体"/>
          <w:b w:val="0"/>
          <w:bCs/>
          <w:i w:val="0"/>
          <w:iCs w:val="0"/>
          <w:lang w:val="en-US" w:eastAsia="zh-CN"/>
        </w:rPr>
        <w:t>PUR resource to transmit RRCConnectionRequest. The procedure will fall back to the legacy RRC Connection establishment procedure, a new C-RNTI can be assigned.</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ab/>
      </w:r>
      <w:r>
        <w:rPr>
          <w:rFonts w:hint="default" w:eastAsia="宋体"/>
          <w:b w:val="0"/>
          <w:bCs/>
          <w:i w:val="0"/>
          <w:iCs w:val="0"/>
          <w:lang w:val="en-US" w:eastAsia="zh-CN"/>
        </w:rPr>
        <w:t xml:space="preserve">After step 1, the eNB may request the UE to abort the transmission using </w:t>
      </w:r>
      <w:r>
        <w:rPr>
          <w:rFonts w:hint="eastAsia" w:eastAsia="宋体"/>
          <w:b w:val="0"/>
          <w:bCs/>
          <w:i w:val="0"/>
          <w:iCs w:val="0"/>
          <w:lang w:val="en-US" w:eastAsia="zh-CN"/>
        </w:rPr>
        <w:t xml:space="preserve">shared </w:t>
      </w:r>
      <w:r>
        <w:rPr>
          <w:rFonts w:hint="default" w:eastAsia="宋体"/>
          <w:b w:val="0"/>
          <w:bCs/>
          <w:i w:val="0"/>
          <w:iCs w:val="0"/>
          <w:lang w:val="en-US" w:eastAsia="zh-CN"/>
        </w:rPr>
        <w:t>PUR by sending a Layer 1 fallback indication. UE actions upon reception of Layer 1 fallback indication are left up to UE implementation.</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2..6 Same as MO-EDT for Control Plane CIoT EPS</w:t>
      </w:r>
      <w:r>
        <w:rPr>
          <w:rFonts w:hint="eastAsia" w:eastAsia="宋体"/>
          <w:b w:val="0"/>
          <w:bCs/>
          <w:i w:val="0"/>
          <w:iCs w:val="0"/>
          <w:lang w:val="en-US" w:eastAsia="zh-CN"/>
        </w:rPr>
        <w:t xml:space="preserve"> </w:t>
      </w:r>
      <w:r>
        <w:rPr>
          <w:rFonts w:hint="default" w:eastAsia="宋体"/>
          <w:b w:val="0"/>
          <w:bCs/>
          <w:i w:val="0"/>
          <w:iCs w:val="0"/>
          <w:lang w:val="en-US" w:eastAsia="zh-CN"/>
        </w:rPr>
        <w:t>Optimisations in Figure 7.3b-1.</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7</w:t>
      </w:r>
      <w:r>
        <w:rPr>
          <w:rFonts w:hint="default" w:eastAsia="宋体"/>
          <w:b w:val="0"/>
          <w:bCs/>
          <w:i w:val="0"/>
          <w:iCs w:val="0"/>
          <w:lang w:val="en-US" w:eastAsia="zh-CN"/>
        </w:rPr>
        <w:tab/>
      </w:r>
      <w:r>
        <w:t xml:space="preserve">If no further data are expected, the eNB can send the </w:t>
      </w:r>
      <w:r>
        <w:rPr>
          <w:i/>
        </w:rPr>
        <w:t>RRCEarlyDataComplete</w:t>
      </w:r>
      <w:r>
        <w:rPr>
          <w:rFonts w:hint="eastAsia" w:eastAsia="宋体"/>
          <w:i/>
          <w:lang w:val="en-US" w:eastAsia="zh-CN"/>
        </w:rPr>
        <w:t xml:space="preserve"> </w:t>
      </w:r>
      <w:r>
        <w:t>message</w:t>
      </w:r>
      <w:r>
        <w:rPr>
          <w:rFonts w:hint="eastAsia" w:eastAsia="宋体"/>
          <w:lang w:val="en-US" w:eastAsia="zh-CN"/>
        </w:rPr>
        <w:t xml:space="preserve"> including </w:t>
      </w:r>
      <w:r>
        <w:t xml:space="preserve">UE Contention Resolution Identity on CCCH to keep the UE in RRC_IDLE. If downlink data were received in step 6, they are concatenated in </w:t>
      </w:r>
      <w:r>
        <w:rPr>
          <w:i/>
        </w:rPr>
        <w:t xml:space="preserve">RRCEarlyDataComplete </w:t>
      </w:r>
      <w:r>
        <w:t>message.</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p>
    <w:p>
      <w:pPr>
        <w:pStyle w:val="60"/>
        <w:numPr>
          <w:ilvl w:val="0"/>
          <w:numId w:val="0"/>
        </w:numPr>
        <w:overflowPunct w:val="0"/>
        <w:autoSpaceDE w:val="0"/>
        <w:autoSpaceDN w:val="0"/>
        <w:adjustRightInd w:val="0"/>
        <w:spacing w:after="0"/>
        <w:jc w:val="center"/>
        <w:textAlignment w:val="baseline"/>
        <w:rPr>
          <w:rFonts w:hint="default" w:eastAsia="宋体"/>
          <w:b w:val="0"/>
          <w:bCs/>
          <w:i w:val="0"/>
          <w:iCs w:val="0"/>
          <w:lang w:val="en-US" w:eastAsia="zh-CN"/>
        </w:rPr>
      </w:pPr>
      <w:r>
        <w:rPr>
          <w:rFonts w:hint="default" w:eastAsia="宋体"/>
          <w:b w:val="0"/>
          <w:bCs/>
          <w:i w:val="0"/>
          <w:iCs w:val="0"/>
          <w:lang w:val="en-US" w:eastAsia="zh-CN"/>
        </w:rPr>
        <w:drawing>
          <wp:inline distT="0" distB="0" distL="114300" distR="114300">
            <wp:extent cx="6118225" cy="2918460"/>
            <wp:effectExtent l="0" t="0" r="15875" b="15240"/>
            <wp:docPr id="2" name="图片 2" descr="EDT 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DT UP "/>
                    <pic:cNvPicPr>
                      <a:picLocks noChangeAspect="1"/>
                    </pic:cNvPicPr>
                  </pic:nvPicPr>
                  <pic:blipFill>
                    <a:blip r:embed="rId12"/>
                    <a:stretch>
                      <a:fillRect/>
                    </a:stretch>
                  </pic:blipFill>
                  <pic:spPr>
                    <a:xfrm>
                      <a:off x="0" y="0"/>
                      <a:ext cx="6118225" cy="2918460"/>
                    </a:xfrm>
                    <a:prstGeom prst="rect">
                      <a:avLst/>
                    </a:prstGeom>
                  </pic:spPr>
                </pic:pic>
              </a:graphicData>
            </a:graphic>
          </wp:inline>
        </w:drawing>
      </w:r>
    </w:p>
    <w:p>
      <w:pPr>
        <w:pStyle w:val="74"/>
        <w:rPr>
          <w:b w:val="0"/>
        </w:rPr>
      </w:pPr>
      <w:r>
        <w:t xml:space="preserve">Figure </w:t>
      </w:r>
      <w:r>
        <w:rPr>
          <w:rFonts w:hint="eastAsia" w:eastAsia="宋体"/>
          <w:lang w:val="en-US" w:eastAsia="zh-CN"/>
        </w:rPr>
        <w:t>2</w:t>
      </w:r>
      <w:r>
        <w:t xml:space="preserve">: Transmission using PUR for the User Plane CIoT </w:t>
      </w:r>
      <w:r>
        <w:rPr>
          <w:rFonts w:hint="eastAsia" w:eastAsia="宋体"/>
          <w:lang w:val="en-US" w:eastAsia="zh-CN"/>
        </w:rPr>
        <w:t>EPS</w:t>
      </w:r>
      <w:r>
        <w:t xml:space="preserve"> Optimisation</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eastAsia" w:eastAsia="宋体"/>
          <w:b w:val="0"/>
          <w:bCs/>
          <w:i w:val="0"/>
          <w:iCs w:val="0"/>
          <w:lang w:val="en-US" w:eastAsia="zh-CN"/>
        </w:rPr>
        <w:t>0.</w:t>
      </w:r>
      <w:r>
        <w:rPr>
          <w:rFonts w:hint="eastAsia" w:eastAsia="宋体"/>
          <w:b w:val="0"/>
          <w:bCs/>
          <w:i w:val="0"/>
          <w:iCs w:val="0"/>
          <w:lang w:val="en-US" w:eastAsia="zh-CN"/>
        </w:rPr>
        <w:tab/>
      </w:r>
      <w:r>
        <w:rPr>
          <w:rFonts w:hint="eastAsia" w:eastAsia="宋体"/>
          <w:b w:val="0"/>
          <w:bCs/>
          <w:i w:val="0"/>
          <w:iCs w:val="0"/>
          <w:lang w:val="en-US" w:eastAsia="zh-CN"/>
        </w:rPr>
        <w:t>Network provides shared PUR pool(s) configuration via SIBxx for the UEs in the cell</w:t>
      </w:r>
      <w:r>
        <w:rPr>
          <w:rFonts w:hint="default" w:eastAsia="宋体"/>
          <w:b w:val="0"/>
          <w:bCs/>
          <w:i w:val="0"/>
          <w:iCs w:val="0"/>
          <w:lang w:val="en-US" w:eastAsia="zh-CN"/>
        </w:rPr>
        <w:t>.</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1</w:t>
      </w:r>
      <w:r>
        <w:rPr>
          <w:rFonts w:hint="default" w:eastAsia="宋体"/>
          <w:b w:val="0"/>
          <w:bCs/>
          <w:i w:val="0"/>
          <w:iCs w:val="0"/>
          <w:lang w:val="en-US" w:eastAsia="zh-CN"/>
        </w:rPr>
        <w:tab/>
      </w:r>
      <w:r>
        <w:rPr>
          <w:rFonts w:hint="default" w:eastAsia="宋体"/>
          <w:b w:val="0"/>
          <w:bCs/>
          <w:i w:val="0"/>
          <w:iCs w:val="0"/>
          <w:lang w:val="en-US" w:eastAsia="zh-CN"/>
        </w:rPr>
        <w:t>Same as step 1 in MO-EDT for User Plane CIoT EPS</w:t>
      </w:r>
      <w:r>
        <w:rPr>
          <w:rFonts w:hint="eastAsia" w:eastAsia="宋体"/>
          <w:b w:val="0"/>
          <w:bCs/>
          <w:i w:val="0"/>
          <w:iCs w:val="0"/>
          <w:lang w:val="en-US" w:eastAsia="zh-CN"/>
        </w:rPr>
        <w:t xml:space="preserve"> </w:t>
      </w:r>
      <w:r>
        <w:rPr>
          <w:rFonts w:hint="default" w:eastAsia="宋体"/>
          <w:b w:val="0"/>
          <w:bCs/>
          <w:i w:val="0"/>
          <w:iCs w:val="0"/>
          <w:lang w:val="en-US" w:eastAsia="zh-CN"/>
        </w:rPr>
        <w:t xml:space="preserve">optimisations in Figure 7.3b-2 except that the UE transmits over the </w:t>
      </w:r>
      <w:r>
        <w:rPr>
          <w:rFonts w:hint="eastAsia" w:eastAsia="宋体"/>
          <w:b w:val="0"/>
          <w:bCs/>
          <w:i w:val="0"/>
          <w:iCs w:val="0"/>
          <w:lang w:val="en-US" w:eastAsia="zh-CN"/>
        </w:rPr>
        <w:t xml:space="preserve">shared </w:t>
      </w:r>
      <w:r>
        <w:rPr>
          <w:rFonts w:hint="default" w:eastAsia="宋体"/>
          <w:b w:val="0"/>
          <w:bCs/>
          <w:i w:val="0"/>
          <w:iCs w:val="0"/>
          <w:lang w:val="en-US" w:eastAsia="zh-CN"/>
        </w:rPr>
        <w:t>PUR resource instead of a resource allocated in the random access response.</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ab/>
      </w:r>
      <w:r>
        <w:rPr>
          <w:rFonts w:hint="default" w:eastAsia="宋体"/>
          <w:b w:val="0"/>
          <w:bCs/>
          <w:i w:val="0"/>
          <w:iCs w:val="0"/>
          <w:lang w:val="en-US" w:eastAsia="zh-CN"/>
        </w:rPr>
        <w:t xml:space="preserve">If the user data are too large to be fully included in the transmission using </w:t>
      </w:r>
      <w:r>
        <w:rPr>
          <w:rFonts w:hint="eastAsia" w:eastAsia="宋体"/>
          <w:b w:val="0"/>
          <w:bCs/>
          <w:i w:val="0"/>
          <w:iCs w:val="0"/>
          <w:lang w:val="en-US" w:eastAsia="zh-CN"/>
        </w:rPr>
        <w:t xml:space="preserve">shared </w:t>
      </w:r>
      <w:r>
        <w:rPr>
          <w:rFonts w:hint="default" w:eastAsia="宋体"/>
          <w:b w:val="0"/>
          <w:bCs/>
          <w:i w:val="0"/>
          <w:iCs w:val="0"/>
          <w:lang w:val="en-US" w:eastAsia="zh-CN"/>
        </w:rPr>
        <w:t>PUR, the UE can use</w:t>
      </w:r>
      <w:r>
        <w:rPr>
          <w:rFonts w:hint="eastAsia" w:eastAsia="宋体"/>
          <w:b w:val="0"/>
          <w:bCs/>
          <w:i w:val="0"/>
          <w:iCs w:val="0"/>
          <w:lang w:val="en-US" w:eastAsia="zh-CN"/>
        </w:rPr>
        <w:t xml:space="preserve"> shared</w:t>
      </w:r>
      <w:r>
        <w:rPr>
          <w:rFonts w:hint="default" w:eastAsia="宋体"/>
          <w:b w:val="0"/>
          <w:bCs/>
          <w:i w:val="0"/>
          <w:iCs w:val="0"/>
          <w:lang w:val="en-US" w:eastAsia="zh-CN"/>
        </w:rPr>
        <w:t xml:space="preserve"> PUR to transmit RRCConnectionResumeRequest and a segment of the user data. The procedure will fall back to the legacy RRC Connection Resume procedure; a new C-RNTI can be assigned.</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ab/>
      </w:r>
      <w:r>
        <w:rPr>
          <w:rFonts w:hint="default" w:eastAsia="宋体"/>
          <w:b w:val="0"/>
          <w:bCs/>
          <w:i w:val="0"/>
          <w:iCs w:val="0"/>
          <w:lang w:val="en-US" w:eastAsia="zh-CN"/>
        </w:rPr>
        <w:t xml:space="preserve">After step 1, the eNB may request the UE to abort the transmission using </w:t>
      </w:r>
      <w:r>
        <w:rPr>
          <w:rFonts w:hint="eastAsia" w:eastAsia="宋体"/>
          <w:b w:val="0"/>
          <w:bCs/>
          <w:i w:val="0"/>
          <w:iCs w:val="0"/>
          <w:lang w:val="en-US" w:eastAsia="zh-CN"/>
        </w:rPr>
        <w:t xml:space="preserve">shared </w:t>
      </w:r>
      <w:r>
        <w:rPr>
          <w:rFonts w:hint="default" w:eastAsia="宋体"/>
          <w:b w:val="0"/>
          <w:bCs/>
          <w:i w:val="0"/>
          <w:iCs w:val="0"/>
          <w:lang w:val="en-US" w:eastAsia="zh-CN"/>
        </w:rPr>
        <w:t>PUR by sending a Layer 1 fallback indication. UE actions upon reception of Layer 1 fallback indication are left up to UE implementation.</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2..7 Same as MO-EDT for User Plane CIoT EPS</w:t>
      </w:r>
      <w:r>
        <w:rPr>
          <w:rFonts w:hint="eastAsia" w:eastAsia="宋体"/>
          <w:b w:val="0"/>
          <w:bCs/>
          <w:i w:val="0"/>
          <w:iCs w:val="0"/>
          <w:lang w:val="en-US" w:eastAsia="zh-CN"/>
        </w:rPr>
        <w:t xml:space="preserve"> </w:t>
      </w:r>
      <w:r>
        <w:rPr>
          <w:rFonts w:hint="default" w:eastAsia="宋体"/>
          <w:b w:val="0"/>
          <w:bCs/>
          <w:i w:val="0"/>
          <w:iCs w:val="0"/>
          <w:lang w:val="en-US" w:eastAsia="zh-CN"/>
        </w:rPr>
        <w:t>optimisations in Figure 7.3b-2.</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8</w:t>
      </w:r>
      <w:r>
        <w:rPr>
          <w:rFonts w:hint="default" w:eastAsia="宋体"/>
          <w:b w:val="0"/>
          <w:bCs/>
          <w:i w:val="0"/>
          <w:iCs w:val="0"/>
          <w:lang w:val="en-US" w:eastAsia="zh-CN"/>
        </w:rPr>
        <w:tab/>
      </w:r>
      <w:r>
        <w:t>Same as step 8 in MO-EDT for user Plane CIoT EPS optimisations in Figure 7.3b-2 and a UE Contention Resolution Identity</w:t>
      </w:r>
      <w:r>
        <w:rPr>
          <w:rFonts w:hint="eastAsia" w:eastAsia="宋体"/>
          <w:lang w:val="en-US" w:eastAsia="zh-CN"/>
        </w:rPr>
        <w:t xml:space="preserve"> is</w:t>
      </w:r>
      <w:r>
        <w:t xml:space="preserve"> also included.</w:t>
      </w:r>
    </w:p>
    <w:p>
      <w:pPr>
        <w:pStyle w:val="60"/>
        <w:numPr>
          <w:ilvl w:val="0"/>
          <w:numId w:val="0"/>
        </w:numPr>
        <w:overflowPunct w:val="0"/>
        <w:autoSpaceDE w:val="0"/>
        <w:autoSpaceDN w:val="0"/>
        <w:adjustRightInd w:val="0"/>
        <w:spacing w:after="0"/>
        <w:jc w:val="left"/>
        <w:textAlignment w:val="baseline"/>
        <w:rPr>
          <w:rFonts w:hint="default" w:eastAsia="宋体"/>
          <w:b/>
          <w:bCs w:val="0"/>
          <w:i w:val="0"/>
          <w:iCs w:val="0"/>
          <w:lang w:val="en-US" w:eastAsia="zh-CN"/>
        </w:rPr>
      </w:pPr>
      <w:r>
        <w:rPr>
          <w:rFonts w:hint="eastAsia" w:eastAsia="宋体"/>
          <w:b/>
          <w:bCs w:val="0"/>
          <w:i w:val="0"/>
          <w:iCs w:val="0"/>
          <w:lang w:val="en-US" w:eastAsia="zh-CN"/>
        </w:rPr>
        <w:t>Proposal 6: If combination EDT and contention-based PUR is supported, the above procedure could be the baseline.</w:t>
      </w:r>
    </w:p>
    <w:p>
      <w:pPr>
        <w:pStyle w:val="60"/>
        <w:numPr>
          <w:ilvl w:val="0"/>
          <w:numId w:val="0"/>
        </w:numPr>
        <w:overflowPunct w:val="0"/>
        <w:autoSpaceDE w:val="0"/>
        <w:autoSpaceDN w:val="0"/>
        <w:adjustRightInd w:val="0"/>
        <w:spacing w:after="0"/>
        <w:jc w:val="left"/>
        <w:textAlignment w:val="baseline"/>
        <w:rPr>
          <w:rFonts w:hint="default" w:eastAsia="宋体"/>
          <w:b/>
          <w:bCs w:val="0"/>
          <w:i w:val="0"/>
          <w:iCs w:val="0"/>
          <w:lang w:val="en-US" w:eastAsia="zh-CN"/>
        </w:rPr>
      </w:pPr>
    </w:p>
    <w:p>
      <w:pPr>
        <w:pStyle w:val="60"/>
        <w:keepNext w:val="0"/>
        <w:keepLines w:val="0"/>
        <w:pageBreakBefore w:val="0"/>
        <w:widowControl/>
        <w:numPr>
          <w:ilvl w:val="0"/>
          <w:numId w:val="13"/>
        </w:numPr>
        <w:kinsoku/>
        <w:wordWrap/>
        <w:overflowPunct w:val="0"/>
        <w:topLinePunct w:val="0"/>
        <w:autoSpaceDE w:val="0"/>
        <w:autoSpaceDN w:val="0"/>
        <w:bidi w:val="0"/>
        <w:adjustRightInd w:val="0"/>
        <w:snapToGrid/>
        <w:spacing w:after="0"/>
        <w:ind w:left="420" w:leftChars="0" w:hanging="420" w:firstLineChars="0"/>
        <w:jc w:val="left"/>
        <w:textAlignment w:val="baseline"/>
        <w:outlineLvl w:val="2"/>
        <w:rPr>
          <w:rFonts w:hint="default" w:eastAsia="宋体"/>
          <w:b/>
          <w:bCs w:val="0"/>
          <w:i w:val="0"/>
          <w:iCs w:val="0"/>
          <w:lang w:val="en-US" w:eastAsia="zh-CN"/>
        </w:rPr>
      </w:pPr>
      <w:r>
        <w:rPr>
          <w:rFonts w:hint="eastAsia" w:eastAsia="宋体"/>
          <w:b/>
          <w:bCs w:val="0"/>
          <w:i w:val="0"/>
          <w:iCs w:val="0"/>
          <w:lang w:val="en-US" w:eastAsia="zh-CN"/>
        </w:rPr>
        <w:t xml:space="preserve">Fallback mechanism </w:t>
      </w:r>
    </w:p>
    <w:p>
      <w:pPr>
        <w:pStyle w:val="60"/>
        <w:spacing w:after="0"/>
        <w:ind w:left="0" w:firstLine="0"/>
        <w:rPr>
          <w:rFonts w:hint="default" w:eastAsia="宋体"/>
          <w:bCs/>
          <w:lang w:val="en-US" w:eastAsia="zh-CN"/>
        </w:rPr>
      </w:pPr>
      <w:r>
        <w:rPr>
          <w:rFonts w:hint="eastAsia" w:eastAsia="宋体"/>
          <w:lang w:val="en-US" w:eastAsia="zh-CN"/>
        </w:rPr>
        <w:t xml:space="preserve">Then a maximum number of EDT transmissions based on </w:t>
      </w:r>
      <w:r>
        <w:rPr>
          <w:rFonts w:hint="eastAsia" w:eastAsiaTheme="minorEastAsia"/>
          <w:b w:val="0"/>
          <w:bCs w:val="0"/>
          <w:sz w:val="20"/>
          <w:szCs w:val="20"/>
          <w:lang w:val="en-US" w:eastAsia="zh-CN"/>
        </w:rPr>
        <w:t xml:space="preserve">shared PUR resource could be defined to avoid the more serious delay caused by too many attempts. If UE attempts up to the </w:t>
      </w:r>
      <w:r>
        <w:rPr>
          <w:rFonts w:hint="eastAsia" w:eastAsia="宋体"/>
          <w:lang w:val="en-US" w:eastAsia="zh-CN"/>
        </w:rPr>
        <w:t>maximum number of EDT transmissions, a fall back mechanism could be considered, i.e., to perform legacy RACH procedure to obtain UL resource.</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7: It is proposed to introduce a maximum number of EDT transmissions based on shared PUR resource to avoid the more serious delay caused by too many attempts.</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 xml:space="preserve">Proposal 8: If UE attempts up to the maximum number of EDT transmissions, a fall back mechanism could be considered, </w:t>
      </w:r>
      <w:r>
        <w:rPr>
          <w:rFonts w:hint="eastAsia" w:eastAsia="宋体"/>
          <w:b/>
          <w:bCs w:val="0"/>
          <w:lang w:val="en-US" w:eastAsia="zh-CN"/>
        </w:rPr>
        <w:t>i.e.,</w:t>
      </w:r>
      <w:r>
        <w:rPr>
          <w:rFonts w:hint="eastAsia" w:eastAsia="宋体"/>
          <w:b/>
          <w:bCs w:val="0"/>
          <w:i w:val="0"/>
          <w:iCs w:val="0"/>
          <w:lang w:val="en-US" w:eastAsia="zh-CN"/>
        </w:rPr>
        <w:t xml:space="preserve"> to perform legacy RACH procedure to obtain UL resource.</w:t>
      </w:r>
    </w:p>
    <w:p>
      <w:pPr>
        <w:pStyle w:val="60"/>
        <w:keepNext w:val="0"/>
        <w:keepLines w:val="0"/>
        <w:pageBreakBefore w:val="0"/>
        <w:widowControl/>
        <w:numPr>
          <w:ilvl w:val="0"/>
          <w:numId w:val="13"/>
        </w:numPr>
        <w:kinsoku/>
        <w:wordWrap/>
        <w:overflowPunct w:val="0"/>
        <w:topLinePunct w:val="0"/>
        <w:autoSpaceDE w:val="0"/>
        <w:autoSpaceDN w:val="0"/>
        <w:bidi w:val="0"/>
        <w:adjustRightInd w:val="0"/>
        <w:snapToGrid/>
        <w:spacing w:after="0"/>
        <w:ind w:left="420" w:leftChars="0" w:hanging="420" w:firstLineChars="0"/>
        <w:jc w:val="left"/>
        <w:textAlignment w:val="baseline"/>
        <w:outlineLvl w:val="2"/>
        <w:rPr>
          <w:rFonts w:hint="default" w:eastAsia="宋体"/>
          <w:b/>
          <w:bCs w:val="0"/>
          <w:i w:val="0"/>
          <w:iCs w:val="0"/>
          <w:lang w:val="en-US" w:eastAsia="zh-CN"/>
        </w:rPr>
      </w:pPr>
      <w:r>
        <w:rPr>
          <w:rFonts w:hint="eastAsia" w:eastAsia="宋体"/>
          <w:b/>
          <w:bCs w:val="0"/>
          <w:i w:val="0"/>
          <w:iCs w:val="0"/>
          <w:lang w:val="en-US" w:eastAsia="zh-CN"/>
        </w:rPr>
        <w:t xml:space="preserve">Combination of OCC and CB-Msg3 </w:t>
      </w:r>
    </w:p>
    <w:p>
      <w:pPr>
        <w:pStyle w:val="60"/>
        <w:spacing w:after="0"/>
        <w:ind w:left="0" w:firstLine="0"/>
        <w:rPr>
          <w:rFonts w:hint="eastAsia" w:eastAsia="宋体"/>
          <w:lang w:val="en-US" w:eastAsia="zh-CN"/>
        </w:rPr>
      </w:pPr>
      <w:r>
        <w:rPr>
          <w:rFonts w:hint="eastAsia" w:eastAsia="宋体"/>
          <w:lang w:val="en-US" w:eastAsia="zh-CN"/>
        </w:rPr>
        <w:t>For uplink capacity enhancements, RAN1 focus on OCC for NPRACH, and the following agreements are achieved:</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hint="eastAsia" w:eastAsia="宋体"/>
                <w:bCs/>
                <w:highlight w:val="green"/>
                <w:lang w:val="en-US" w:eastAsia="zh-CN"/>
              </w:rPr>
            </w:pPr>
            <w:r>
              <w:rPr>
                <w:rFonts w:hint="eastAsia" w:eastAsia="宋体"/>
                <w:highlight w:val="green"/>
                <w:vertAlign w:val="baseline"/>
                <w:lang w:val="en-US" w:eastAsia="zh-CN"/>
              </w:rPr>
              <w:t xml:space="preserve">RAN1 #116 </w:t>
            </w:r>
            <w:r>
              <w:rPr>
                <w:bCs/>
                <w:highlight w:val="green"/>
              </w:rPr>
              <w:t>Agreement</w:t>
            </w:r>
            <w:r>
              <w:rPr>
                <w:rFonts w:hint="eastAsia" w:eastAsia="宋体"/>
                <w:bCs/>
                <w:highlight w:val="green"/>
                <w:lang w:val="en-US" w:eastAsia="zh-CN"/>
              </w:rPr>
              <w:t>:</w:t>
            </w:r>
          </w:p>
          <w:p>
            <w:pPr>
              <w:spacing w:after="0"/>
              <w:rPr>
                <w:bCs/>
                <w:color w:val="000000"/>
                <w:lang w:eastAsia="ar-SA"/>
              </w:rPr>
            </w:pPr>
            <w:r>
              <w:rPr>
                <w:bCs/>
                <w:color w:val="000000"/>
                <w:lang w:eastAsia="ar-SA"/>
              </w:rPr>
              <w:t>For single-tone NPUSCH format 1 transmissions with both 3.75kHz and 15kHz SCS, the following OCC schemes are considered by RAN1 for further study:</w:t>
            </w:r>
          </w:p>
          <w:p>
            <w:pPr>
              <w:numPr>
                <w:ilvl w:val="0"/>
                <w:numId w:val="14"/>
              </w:numPr>
              <w:spacing w:after="0"/>
              <w:rPr>
                <w:bCs/>
                <w:color w:val="000000"/>
                <w:lang w:eastAsia="ar-SA"/>
              </w:rPr>
            </w:pPr>
            <w:r>
              <w:rPr>
                <w:bCs/>
                <w:color w:val="000000"/>
                <w:lang w:eastAsia="ar-SA"/>
              </w:rPr>
              <w:t>Time domain OCC where OCC spreads across:</w:t>
            </w:r>
          </w:p>
          <w:p>
            <w:pPr>
              <w:numPr>
                <w:ilvl w:val="1"/>
                <w:numId w:val="15"/>
              </w:numPr>
              <w:spacing w:after="0"/>
              <w:rPr>
                <w:bCs/>
                <w:color w:val="000000"/>
                <w:lang w:eastAsia="ar-SA"/>
              </w:rPr>
            </w:pPr>
            <w:r>
              <w:rPr>
                <w:bCs/>
                <w:color w:val="000000"/>
                <w:lang w:eastAsia="ar-SA"/>
              </w:rPr>
              <w:t>Symbol-level</w:t>
            </w:r>
          </w:p>
          <w:p>
            <w:pPr>
              <w:numPr>
                <w:ilvl w:val="1"/>
                <w:numId w:val="15"/>
              </w:numPr>
              <w:spacing w:after="0"/>
              <w:rPr>
                <w:bCs/>
                <w:color w:val="000000"/>
                <w:lang w:eastAsia="ar-SA"/>
              </w:rPr>
            </w:pPr>
            <w:r>
              <w:rPr>
                <w:bCs/>
                <w:color w:val="000000"/>
                <w:lang w:eastAsia="ar-SA"/>
              </w:rPr>
              <w:t xml:space="preserve">Slot-level </w:t>
            </w:r>
          </w:p>
          <w:p>
            <w:pPr>
              <w:numPr>
                <w:ilvl w:val="1"/>
                <w:numId w:val="15"/>
              </w:numPr>
              <w:spacing w:after="0"/>
              <w:rPr>
                <w:bCs/>
                <w:color w:val="000000"/>
                <w:lang w:eastAsia="ar-SA"/>
              </w:rPr>
            </w:pPr>
            <w:r>
              <w:rPr>
                <w:bCs/>
                <w:color w:val="000000"/>
                <w:lang w:eastAsia="ar-SA"/>
              </w:rPr>
              <w:t>Repetition-level</w:t>
            </w:r>
          </w:p>
          <w:p>
            <w:pPr>
              <w:numPr>
                <w:ilvl w:val="1"/>
                <w:numId w:val="15"/>
              </w:numPr>
              <w:spacing w:after="0"/>
              <w:rPr>
                <w:bCs/>
                <w:color w:val="000000"/>
                <w:lang w:eastAsia="ar-SA"/>
              </w:rPr>
            </w:pPr>
            <w:r>
              <w:rPr>
                <w:bCs/>
                <w:color w:val="000000"/>
                <w:lang w:eastAsia="ar-SA"/>
              </w:rPr>
              <w:t>RV-level</w:t>
            </w:r>
          </w:p>
          <w:p>
            <w:pPr>
              <w:spacing w:after="0"/>
              <w:rPr>
                <w:bCs/>
                <w:color w:val="000000"/>
                <w:lang w:eastAsia="ar-SA"/>
              </w:rPr>
            </w:pPr>
          </w:p>
          <w:p>
            <w:pPr>
              <w:spacing w:after="0"/>
              <w:rPr>
                <w:bCs/>
                <w:color w:val="000000"/>
                <w:lang w:eastAsia="ar-SA"/>
              </w:rPr>
            </w:pPr>
            <w:r>
              <w:rPr>
                <w:bCs/>
                <w:color w:val="000000"/>
                <w:lang w:eastAsia="ar-SA"/>
              </w:rPr>
              <w:t>For multi-tone NPUSCH format 1 transmissions, the following OCC schemes are considered by RAN1 for further study:</w:t>
            </w:r>
          </w:p>
          <w:p>
            <w:pPr>
              <w:numPr>
                <w:ilvl w:val="0"/>
                <w:numId w:val="14"/>
              </w:numPr>
              <w:spacing w:after="0"/>
              <w:rPr>
                <w:bCs/>
                <w:color w:val="000000"/>
                <w:lang w:eastAsia="ar-SA"/>
              </w:rPr>
            </w:pPr>
            <w:r>
              <w:rPr>
                <w:bCs/>
                <w:color w:val="000000"/>
                <w:lang w:eastAsia="ar-SA"/>
              </w:rPr>
              <w:t>Time domain OCC where OCC spreads across:</w:t>
            </w:r>
          </w:p>
          <w:p>
            <w:pPr>
              <w:numPr>
                <w:ilvl w:val="1"/>
                <w:numId w:val="15"/>
              </w:numPr>
              <w:spacing w:after="0"/>
              <w:rPr>
                <w:bCs/>
                <w:color w:val="000000"/>
                <w:lang w:eastAsia="ar-SA"/>
              </w:rPr>
            </w:pPr>
            <w:r>
              <w:rPr>
                <w:bCs/>
                <w:color w:val="000000"/>
                <w:lang w:eastAsia="ar-SA"/>
              </w:rPr>
              <w:t>Symbol-level</w:t>
            </w:r>
          </w:p>
          <w:p>
            <w:pPr>
              <w:numPr>
                <w:ilvl w:val="1"/>
                <w:numId w:val="15"/>
              </w:numPr>
              <w:spacing w:after="0"/>
              <w:rPr>
                <w:bCs/>
                <w:color w:val="000000"/>
                <w:lang w:eastAsia="ar-SA"/>
              </w:rPr>
            </w:pPr>
            <w:r>
              <w:rPr>
                <w:bCs/>
                <w:color w:val="000000"/>
                <w:lang w:eastAsia="ar-SA"/>
              </w:rPr>
              <w:t>Slot-level (including Nslot level)</w:t>
            </w:r>
          </w:p>
          <w:p>
            <w:pPr>
              <w:numPr>
                <w:ilvl w:val="1"/>
                <w:numId w:val="15"/>
              </w:numPr>
              <w:spacing w:after="0"/>
              <w:rPr>
                <w:bCs/>
                <w:color w:val="000000"/>
                <w:lang w:eastAsia="ar-SA"/>
              </w:rPr>
            </w:pPr>
            <w:r>
              <w:rPr>
                <w:bCs/>
                <w:color w:val="000000"/>
                <w:lang w:eastAsia="ar-SA"/>
              </w:rPr>
              <w:t>Repetition-level</w:t>
            </w:r>
          </w:p>
          <w:p>
            <w:pPr>
              <w:numPr>
                <w:ilvl w:val="1"/>
                <w:numId w:val="15"/>
              </w:numPr>
              <w:spacing w:after="0"/>
              <w:rPr>
                <w:bCs/>
                <w:color w:val="000000"/>
                <w:lang w:eastAsia="ar-SA"/>
              </w:rPr>
            </w:pPr>
            <w:r>
              <w:rPr>
                <w:bCs/>
                <w:color w:val="000000"/>
                <w:lang w:eastAsia="ar-SA"/>
              </w:rPr>
              <w:t>RV-level</w:t>
            </w:r>
          </w:p>
          <w:p>
            <w:pPr>
              <w:numPr>
                <w:ilvl w:val="0"/>
                <w:numId w:val="14"/>
              </w:numPr>
              <w:spacing w:after="0"/>
              <w:rPr>
                <w:bCs/>
                <w:color w:val="000000"/>
              </w:rPr>
            </w:pPr>
            <w:r>
              <w:rPr>
                <w:bCs/>
                <w:color w:val="000000"/>
                <w:lang w:eastAsia="ar-SA"/>
              </w:rPr>
              <w:t xml:space="preserve">Intra-symbol pre-DFT spreading OCC </w:t>
            </w:r>
          </w:p>
          <w:p>
            <w:pPr>
              <w:rPr>
                <w:rFonts w:hint="eastAsia" w:eastAsia="宋体"/>
                <w:highlight w:val="green"/>
                <w:vertAlign w:val="baseline"/>
                <w:lang w:val="en-US" w:eastAsia="zh-CN"/>
              </w:rPr>
            </w:pPr>
          </w:p>
          <w:p>
            <w:pPr>
              <w:rPr>
                <w:rFonts w:hint="eastAsia" w:eastAsia="宋体"/>
                <w:highlight w:val="green"/>
                <w:vertAlign w:val="baseline"/>
                <w:lang w:val="en-US" w:eastAsia="zh-CN"/>
              </w:rPr>
            </w:pPr>
            <w:r>
              <w:rPr>
                <w:rFonts w:hint="eastAsia" w:eastAsia="宋体"/>
                <w:highlight w:val="green"/>
                <w:vertAlign w:val="baseline"/>
                <w:lang w:val="en-US" w:eastAsia="zh-CN"/>
              </w:rPr>
              <w:t xml:space="preserve">RAN1 #116bis </w:t>
            </w:r>
            <w:r>
              <w:rPr>
                <w:bCs/>
                <w:highlight w:val="green"/>
              </w:rPr>
              <w:t>Agreement</w:t>
            </w:r>
            <w:r>
              <w:rPr>
                <w:rFonts w:hint="eastAsia" w:eastAsia="宋体"/>
                <w:highlight w:val="green"/>
                <w:vertAlign w:val="baseline"/>
                <w:lang w:val="en-US" w:eastAsia="zh-CN"/>
              </w:rPr>
              <w:t>:</w:t>
            </w:r>
          </w:p>
          <w:p>
            <w:pPr>
              <w:rPr>
                <w:bCs/>
                <w:szCs w:val="22"/>
              </w:rPr>
            </w:pPr>
            <w:r>
              <w:rPr>
                <w:bCs/>
                <w:szCs w:val="22"/>
              </w:rPr>
              <w:t>OCC multiplexing is not supported between a UE using NPUSCH format 1 with 3.75kHz SCS and another UE using NPUSCH format 1 with 15kHz SCS.</w:t>
            </w:r>
          </w:p>
          <w:p>
            <w:pPr>
              <w:rPr>
                <w:highlight w:val="yellow"/>
                <w:lang w:eastAsia="ko-KR"/>
              </w:rPr>
            </w:pPr>
            <w:r>
              <w:rPr>
                <w:highlight w:val="yellow"/>
                <w:lang w:eastAsia="ko-KR"/>
              </w:rPr>
              <w:t>For OCC of NPUSCH format 1, RAN1 will not consider multiplexing more than 4 UEs.</w:t>
            </w:r>
          </w:p>
          <w:p>
            <w:pPr>
              <w:rPr>
                <w:bCs/>
                <w:szCs w:val="22"/>
              </w:rPr>
            </w:pPr>
            <w:r>
              <w:rPr>
                <w:bCs/>
                <w:szCs w:val="22"/>
              </w:rPr>
              <w:t>For single-tone DMRS when OCC is applied to NPUSCH format 1, RAN1 considers at least the following for further study:</w:t>
            </w:r>
          </w:p>
          <w:p>
            <w:pPr>
              <w:numPr>
                <w:ilvl w:val="0"/>
                <w:numId w:val="16"/>
              </w:numPr>
              <w:rPr>
                <w:bCs/>
                <w:szCs w:val="22"/>
              </w:rPr>
            </w:pPr>
            <w:r>
              <w:rPr>
                <w:bCs/>
                <w:szCs w:val="22"/>
              </w:rPr>
              <w:t xml:space="preserve">TDM of DMRS. </w:t>
            </w:r>
            <w:r>
              <w:rPr>
                <w:rFonts w:hint="eastAsia" w:eastAsia="宋体"/>
                <w:bCs/>
                <w:szCs w:val="22"/>
                <w:lang w:val="en-US" w:eastAsia="zh-CN"/>
              </w:rPr>
              <w:t xml:space="preserve">The time domain locations of </w:t>
            </w:r>
            <w:r>
              <w:rPr>
                <w:bCs/>
                <w:szCs w:val="22"/>
              </w:rPr>
              <w:t>DMRS for different UEs are different.</w:t>
            </w:r>
            <w:r>
              <w:rPr>
                <w:rFonts w:hint="eastAsia" w:eastAsia="宋体"/>
                <w:bCs/>
                <w:szCs w:val="22"/>
                <w:lang w:val="en-US" w:eastAsia="zh-CN"/>
              </w:rPr>
              <w:t xml:space="preserve"> No OCC is applied for the DMRS of different UEs.</w:t>
            </w:r>
            <w:r>
              <w:rPr>
                <w:bCs/>
                <w:szCs w:val="22"/>
              </w:rPr>
              <w:t xml:space="preserve"> </w:t>
            </w:r>
          </w:p>
          <w:p>
            <w:pPr>
              <w:numPr>
                <w:ilvl w:val="1"/>
                <w:numId w:val="16"/>
              </w:numPr>
              <w:rPr>
                <w:bCs/>
                <w:szCs w:val="22"/>
              </w:rPr>
            </w:pPr>
            <w:r>
              <w:rPr>
                <w:bCs/>
                <w:szCs w:val="22"/>
              </w:rPr>
              <w:t xml:space="preserve">FFS: Detailed mapping </w:t>
            </w:r>
          </w:p>
          <w:p>
            <w:pPr>
              <w:numPr>
                <w:ilvl w:val="0"/>
                <w:numId w:val="16"/>
              </w:numPr>
              <w:rPr>
                <w:bCs/>
                <w:szCs w:val="22"/>
              </w:rPr>
            </w:pPr>
            <w:r>
              <w:rPr>
                <w:bCs/>
                <w:szCs w:val="22"/>
              </w:rPr>
              <w:t xml:space="preserve">CDM of DMRS. </w:t>
            </w:r>
            <w:r>
              <w:rPr>
                <w:rFonts w:hint="eastAsia" w:eastAsia="宋体"/>
                <w:bCs/>
                <w:szCs w:val="22"/>
                <w:lang w:val="en-US" w:eastAsia="zh-CN"/>
              </w:rPr>
              <w:t xml:space="preserve">The time domain locations of </w:t>
            </w:r>
            <w:r>
              <w:rPr>
                <w:bCs/>
                <w:szCs w:val="22"/>
              </w:rPr>
              <w:t xml:space="preserve">DMRS for different UEs are </w:t>
            </w:r>
            <w:r>
              <w:rPr>
                <w:rFonts w:hint="eastAsia" w:eastAsia="宋体"/>
                <w:bCs/>
                <w:szCs w:val="22"/>
                <w:lang w:val="en-US" w:eastAsia="zh-CN"/>
              </w:rPr>
              <w:t>the same. Different OCCs are applied for the</w:t>
            </w:r>
            <w:r>
              <w:rPr>
                <w:bCs/>
                <w:szCs w:val="22"/>
              </w:rPr>
              <w:t xml:space="preserve"> DMRS </w:t>
            </w:r>
            <w:r>
              <w:rPr>
                <w:rFonts w:hint="eastAsia" w:eastAsia="宋体"/>
                <w:bCs/>
                <w:szCs w:val="22"/>
                <w:lang w:val="en-US" w:eastAsia="zh-CN"/>
              </w:rPr>
              <w:t>of</w:t>
            </w:r>
            <w:r>
              <w:rPr>
                <w:bCs/>
                <w:szCs w:val="22"/>
              </w:rPr>
              <w:t xml:space="preserve"> different UEs. </w:t>
            </w:r>
          </w:p>
          <w:p>
            <w:pPr>
              <w:numPr>
                <w:ilvl w:val="1"/>
                <w:numId w:val="16"/>
              </w:numPr>
              <w:rPr>
                <w:bCs/>
                <w:szCs w:val="22"/>
              </w:rPr>
            </w:pPr>
            <w:r>
              <w:rPr>
                <w:bCs/>
                <w:szCs w:val="22"/>
              </w:rPr>
              <w:t>FFS: Detailed mapping</w:t>
            </w:r>
          </w:p>
          <w:p>
            <w:pPr>
              <w:numPr>
                <w:ilvl w:val="0"/>
                <w:numId w:val="16"/>
              </w:numPr>
              <w:rPr>
                <w:bCs/>
                <w:szCs w:val="22"/>
              </w:rPr>
            </w:pPr>
            <w:r>
              <w:rPr>
                <w:bCs/>
                <w:szCs w:val="22"/>
              </w:rPr>
              <w:t>Other schemes are not precluded, including combinations of the above</w:t>
            </w:r>
          </w:p>
          <w:p>
            <w:pPr>
              <w:rPr>
                <w:rFonts w:hint="eastAsia" w:eastAsia="宋体"/>
                <w:highlight w:val="green"/>
                <w:vertAlign w:val="baseline"/>
                <w:lang w:val="en-US" w:eastAsia="zh-CN"/>
              </w:rPr>
            </w:pPr>
          </w:p>
          <w:p>
            <w:pPr>
              <w:rPr>
                <w:rFonts w:hint="eastAsia" w:eastAsia="宋体"/>
                <w:highlight w:val="green"/>
                <w:vertAlign w:val="baseline"/>
                <w:lang w:val="en-US" w:eastAsia="zh-CN"/>
              </w:rPr>
            </w:pPr>
            <w:r>
              <w:rPr>
                <w:rFonts w:hint="eastAsia" w:eastAsia="宋体"/>
                <w:highlight w:val="green"/>
                <w:vertAlign w:val="baseline"/>
                <w:lang w:val="en-US" w:eastAsia="zh-CN"/>
              </w:rPr>
              <w:t xml:space="preserve">RAN1 #117 </w:t>
            </w:r>
            <w:r>
              <w:rPr>
                <w:bCs/>
                <w:highlight w:val="green"/>
              </w:rPr>
              <w:t>Agreement</w:t>
            </w:r>
            <w:r>
              <w:rPr>
                <w:rFonts w:hint="eastAsia" w:eastAsia="宋体"/>
                <w:highlight w:val="green"/>
                <w:vertAlign w:val="baseline"/>
                <w:lang w:val="en-US" w:eastAsia="zh-CN"/>
              </w:rPr>
              <w:t>:</w:t>
            </w:r>
          </w:p>
          <w:p>
            <w:pPr>
              <w:rPr>
                <w:rFonts w:hint="eastAsia"/>
                <w:bCs/>
                <w:szCs w:val="22"/>
              </w:rPr>
            </w:pPr>
            <w:r>
              <w:rPr>
                <w:rFonts w:hint="eastAsia"/>
                <w:bCs/>
                <w:szCs w:val="22"/>
              </w:rPr>
              <w:t>For 3.75kHz single-tone OCC for NPUSCH format 1, RAN1 supports either symbol-level OCC or slot-level OCC. Other OCC schemes are not pursued.</w:t>
            </w:r>
          </w:p>
          <w:p>
            <w:pPr>
              <w:rPr>
                <w:bCs/>
                <w:szCs w:val="22"/>
              </w:rPr>
            </w:pPr>
            <w:r>
              <w:rPr>
                <w:rFonts w:hint="eastAsia"/>
                <w:bCs/>
                <w:szCs w:val="22"/>
              </w:rPr>
              <w:t>For 15kHz single-tone OCC for NPUSCH format 1, RAN1 supports either symbol-level OCC or slot-level OCC. Other OCC schemes are not pursued.</w:t>
            </w:r>
          </w:p>
          <w:p>
            <w:pPr>
              <w:rPr>
                <w:rFonts w:hint="default" w:ascii="Arial" w:hAnsi="Arial" w:eastAsia="宋体" w:cs="Arial"/>
                <w:vertAlign w:val="baseline"/>
                <w:lang w:val="en-US" w:eastAsia="zh-CN"/>
              </w:rPr>
            </w:pPr>
            <w:r>
              <w:rPr>
                <w:rFonts w:hint="default" w:ascii="Arial" w:hAnsi="Arial" w:eastAsia="宋体" w:cs="Arial"/>
                <w:vertAlign w:val="baseline"/>
                <w:lang w:val="en-US" w:eastAsia="zh-CN"/>
              </w:rPr>
              <w:t>Inter-repetition OCC for NPRACH is not studied further in RAN1.</w:t>
            </w:r>
          </w:p>
          <w:p>
            <w:pPr>
              <w:rPr>
                <w:rFonts w:hint="default" w:ascii="Arial" w:hAnsi="Arial" w:eastAsia="宋体" w:cs="Arial"/>
                <w:vertAlign w:val="baseline"/>
                <w:lang w:val="en-US" w:eastAsia="zh-CN"/>
              </w:rPr>
            </w:pPr>
          </w:p>
          <w:p>
            <w:pPr>
              <w:numPr>
                <w:ilvl w:val="0"/>
                <w:numId w:val="13"/>
              </w:numPr>
              <w:ind w:left="420" w:hanging="420"/>
              <w:rPr>
                <w:rFonts w:ascii="Arial" w:hAnsi="Arial" w:cs="Arial"/>
                <w:bCs/>
                <w:szCs w:val="20"/>
              </w:rPr>
            </w:pPr>
            <w:r>
              <w:rPr>
                <w:rFonts w:ascii="Arial" w:hAnsi="Arial" w:cs="Arial"/>
                <w:bCs/>
                <w:szCs w:val="20"/>
              </w:rPr>
              <w:t>For the time-domain DMRS pattern (including blanked DMRS, if any):</w:t>
            </w:r>
          </w:p>
          <w:p>
            <w:pPr>
              <w:pStyle w:val="109"/>
              <w:numPr>
                <w:ilvl w:val="1"/>
                <w:numId w:val="17"/>
              </w:numPr>
              <w:spacing w:after="160" w:line="259" w:lineRule="auto"/>
              <w:ind w:leftChars="0"/>
              <w:contextualSpacing/>
              <w:rPr>
                <w:rFonts w:ascii="Arial" w:hAnsi="Arial" w:cs="Arial"/>
                <w:bCs/>
                <w:szCs w:val="20"/>
              </w:rPr>
            </w:pPr>
            <w:r>
              <w:rPr>
                <w:rFonts w:ascii="Arial" w:hAnsi="Arial" w:cs="Arial"/>
                <w:bCs/>
                <w:szCs w:val="20"/>
              </w:rPr>
              <w:t>For 15kHz single-tone, RAN1 strives to reuse the Rel-17 DMRS pattern</w:t>
            </w:r>
          </w:p>
          <w:p>
            <w:pPr>
              <w:pStyle w:val="109"/>
              <w:numPr>
                <w:ilvl w:val="1"/>
                <w:numId w:val="17"/>
              </w:numPr>
              <w:spacing w:after="160" w:line="259" w:lineRule="auto"/>
              <w:ind w:leftChars="0"/>
              <w:contextualSpacing/>
              <w:rPr>
                <w:rFonts w:ascii="Arial" w:hAnsi="Arial" w:cs="Arial"/>
                <w:bCs/>
                <w:szCs w:val="20"/>
              </w:rPr>
            </w:pPr>
            <w:r>
              <w:rPr>
                <w:rFonts w:ascii="Arial" w:hAnsi="Arial" w:cs="Arial"/>
                <w:bCs/>
                <w:szCs w:val="20"/>
              </w:rPr>
              <w:t>For 3.75kHz single-tone</w:t>
            </w:r>
          </w:p>
          <w:p>
            <w:pPr>
              <w:pStyle w:val="109"/>
              <w:numPr>
                <w:ilvl w:val="2"/>
                <w:numId w:val="17"/>
              </w:numPr>
              <w:spacing w:after="160" w:line="259" w:lineRule="auto"/>
              <w:ind w:leftChars="0"/>
              <w:contextualSpacing/>
              <w:rPr>
                <w:rFonts w:ascii="Arial" w:hAnsi="Arial" w:cs="Arial"/>
                <w:bCs/>
                <w:szCs w:val="20"/>
              </w:rPr>
            </w:pPr>
            <w:r>
              <w:rPr>
                <w:rFonts w:ascii="Arial" w:hAnsi="Arial" w:cs="Arial"/>
                <w:bCs/>
                <w:szCs w:val="20"/>
              </w:rPr>
              <w:t xml:space="preserve"> RAN1 studies</w:t>
            </w:r>
          </w:p>
          <w:p>
            <w:pPr>
              <w:pStyle w:val="109"/>
              <w:numPr>
                <w:ilvl w:val="3"/>
                <w:numId w:val="17"/>
              </w:numPr>
              <w:spacing w:after="160" w:line="259" w:lineRule="auto"/>
              <w:ind w:leftChars="0"/>
              <w:contextualSpacing/>
              <w:rPr>
                <w:rFonts w:ascii="Arial" w:hAnsi="Arial" w:cs="Arial"/>
                <w:bCs/>
                <w:szCs w:val="20"/>
              </w:rPr>
            </w:pPr>
            <w:r>
              <w:rPr>
                <w:rFonts w:ascii="Arial" w:hAnsi="Arial" w:cs="Arial"/>
                <w:bCs/>
                <w:szCs w:val="20"/>
              </w:rPr>
              <w:t>Rel-17 DMRS pattern</w:t>
            </w:r>
          </w:p>
          <w:p>
            <w:pPr>
              <w:pStyle w:val="109"/>
              <w:numPr>
                <w:ilvl w:val="3"/>
                <w:numId w:val="17"/>
              </w:numPr>
              <w:spacing w:after="160" w:line="259" w:lineRule="auto"/>
              <w:ind w:leftChars="0"/>
              <w:contextualSpacing/>
              <w:rPr>
                <w:rFonts w:ascii="Arial" w:hAnsi="Arial" w:cs="Arial"/>
                <w:bCs/>
                <w:szCs w:val="20"/>
              </w:rPr>
            </w:pPr>
            <w:r>
              <w:rPr>
                <w:rFonts w:ascii="Arial" w:hAnsi="Arial" w:cs="Arial"/>
                <w:bCs/>
                <w:szCs w:val="20"/>
              </w:rPr>
              <w:t>A new DMRS pattern</w:t>
            </w:r>
          </w:p>
          <w:p>
            <w:pPr>
              <w:pStyle w:val="109"/>
              <w:numPr>
                <w:ilvl w:val="1"/>
                <w:numId w:val="17"/>
              </w:numPr>
              <w:spacing w:after="160" w:line="259" w:lineRule="auto"/>
              <w:ind w:leftChars="0"/>
              <w:contextualSpacing/>
              <w:rPr>
                <w:rFonts w:ascii="Arial" w:hAnsi="Arial" w:cs="Arial"/>
                <w:bCs/>
                <w:szCs w:val="20"/>
              </w:rPr>
            </w:pPr>
            <w:r>
              <w:rPr>
                <w:rFonts w:ascii="Arial" w:hAnsi="Arial" w:cs="Arial"/>
                <w:szCs w:val="20"/>
              </w:rPr>
              <w:t xml:space="preserve">The DMRS overhead </w:t>
            </w:r>
            <w:r>
              <w:rPr>
                <w:rFonts w:ascii="Arial" w:hAnsi="Arial" w:cs="Arial"/>
                <w:bCs/>
                <w:szCs w:val="20"/>
              </w:rPr>
              <w:t xml:space="preserve">(including blanked DMRS, if any) </w:t>
            </w:r>
            <w:r>
              <w:rPr>
                <w:rFonts w:ascii="Arial" w:hAnsi="Arial" w:cs="Arial"/>
                <w:szCs w:val="20"/>
              </w:rPr>
              <w:t>for OCC is the same as for Rel-17</w:t>
            </w:r>
          </w:p>
          <w:p>
            <w:pPr>
              <w:rPr>
                <w:rFonts w:ascii="Arial" w:hAnsi="Arial" w:cs="Arial"/>
                <w:bCs/>
                <w:szCs w:val="20"/>
              </w:rPr>
            </w:pPr>
          </w:p>
          <w:p>
            <w:pPr>
              <w:rPr>
                <w:rFonts w:hint="eastAsia" w:eastAsia="宋体"/>
                <w:vertAlign w:val="baseline"/>
                <w:lang w:val="en-US" w:eastAsia="zh-CN"/>
              </w:rPr>
            </w:pPr>
            <w:r>
              <w:rPr>
                <w:rFonts w:hint="eastAsia" w:eastAsia="宋体"/>
                <w:vertAlign w:val="baseline"/>
                <w:lang w:val="en-US" w:eastAsia="zh-CN"/>
              </w:rPr>
              <w:t>The Rel-17 guard period locations and length for NB-IoT 3.75kHz UL slot are preserved when OCC is applied to NPUSCH format 1.</w:t>
            </w:r>
          </w:p>
          <w:p>
            <w:pPr>
              <w:rPr>
                <w:rFonts w:hint="eastAsia" w:eastAsia="宋体"/>
                <w:vertAlign w:val="baseline"/>
                <w:lang w:val="en-US" w:eastAsia="zh-CN"/>
              </w:rPr>
            </w:pPr>
          </w:p>
          <w:p>
            <w:pPr>
              <w:rPr>
                <w:rFonts w:hint="eastAsia" w:eastAsia="宋体"/>
                <w:highlight w:val="green"/>
                <w:vertAlign w:val="baseline"/>
                <w:lang w:val="en-US" w:eastAsia="zh-CN"/>
              </w:rPr>
            </w:pPr>
            <w:r>
              <w:rPr>
                <w:rFonts w:hint="eastAsia" w:eastAsia="宋体"/>
                <w:highlight w:val="green"/>
                <w:vertAlign w:val="baseline"/>
                <w:lang w:val="en-US" w:eastAsia="zh-CN"/>
              </w:rPr>
              <w:t xml:space="preserve">RAN1 #118 </w:t>
            </w:r>
            <w:r>
              <w:rPr>
                <w:bCs/>
                <w:highlight w:val="green"/>
              </w:rPr>
              <w:t>Agreement</w:t>
            </w:r>
            <w:r>
              <w:rPr>
                <w:rFonts w:hint="eastAsia" w:eastAsia="宋体"/>
                <w:highlight w:val="green"/>
                <w:vertAlign w:val="baseline"/>
                <w:lang w:val="en-US" w:eastAsia="zh-CN"/>
              </w:rPr>
              <w:t>:</w:t>
            </w:r>
          </w:p>
          <w:p>
            <w:pPr>
              <w:rPr>
                <w:rFonts w:ascii="Arial" w:hAnsi="Arial" w:cs="Arial"/>
                <w:bCs/>
              </w:rPr>
            </w:pPr>
            <w:r>
              <w:rPr>
                <w:rFonts w:ascii="Arial" w:hAnsi="Arial" w:cs="Arial"/>
                <w:bCs/>
              </w:rPr>
              <w:t>RAN1 studies whether the following types of UL transmission gap will impact the design of OCC for IoT-NTN when considering e.g. phase continuity</w:t>
            </w:r>
          </w:p>
          <w:p>
            <w:pPr>
              <w:numPr>
                <w:ilvl w:val="0"/>
                <w:numId w:val="18"/>
              </w:numPr>
              <w:rPr>
                <w:rFonts w:ascii="Arial" w:hAnsi="Arial" w:cs="Arial"/>
                <w:bCs/>
              </w:rPr>
            </w:pPr>
            <w:r>
              <w:rPr>
                <w:rFonts w:ascii="Arial" w:hAnsi="Arial" w:cs="Arial"/>
                <w:bCs/>
              </w:rPr>
              <w:t>UL gaps for synchronization (from Rel-13)</w:t>
            </w:r>
          </w:p>
          <w:p>
            <w:pPr>
              <w:numPr>
                <w:ilvl w:val="0"/>
                <w:numId w:val="18"/>
              </w:numPr>
              <w:rPr>
                <w:rFonts w:ascii="Arial" w:hAnsi="Arial" w:cs="Arial"/>
                <w:bCs/>
              </w:rPr>
            </w:pPr>
            <w:r>
              <w:rPr>
                <w:rFonts w:ascii="Arial" w:hAnsi="Arial" w:cs="Arial"/>
                <w:bCs/>
              </w:rPr>
              <w:t>Gaps around NPRACH occasions</w:t>
            </w:r>
          </w:p>
          <w:p>
            <w:pPr>
              <w:numPr>
                <w:ilvl w:val="0"/>
                <w:numId w:val="18"/>
              </w:numPr>
              <w:rPr>
                <w:rFonts w:ascii="Arial" w:hAnsi="Arial" w:cs="Arial"/>
                <w:bCs/>
              </w:rPr>
            </w:pPr>
            <w:r>
              <w:rPr>
                <w:rFonts w:ascii="Arial" w:hAnsi="Arial" w:cs="Arial"/>
                <w:bCs/>
              </w:rPr>
              <w:t>UL timing adjustment gaps and segmentation for IoT-NTN (from Rel-17)</w:t>
            </w:r>
          </w:p>
          <w:p>
            <w:pPr>
              <w:numPr>
                <w:ilvl w:val="0"/>
                <w:numId w:val="18"/>
              </w:numPr>
              <w:rPr>
                <w:rFonts w:ascii="Times New Roman" w:hAnsi="Times New Roman"/>
                <w:bCs/>
              </w:rPr>
            </w:pPr>
            <w:r>
              <w:rPr>
                <w:rFonts w:ascii="Arial" w:hAnsi="Arial" w:cs="Arial"/>
                <w:bCs/>
              </w:rPr>
              <w:t>TDM DMRS that are muted</w:t>
            </w:r>
          </w:p>
          <w:p>
            <w:pPr>
              <w:numPr>
                <w:ilvl w:val="0"/>
                <w:numId w:val="18"/>
              </w:numPr>
              <w:rPr>
                <w:rFonts w:ascii="Times New Roman" w:hAnsi="Times New Roman"/>
                <w:bCs/>
              </w:rPr>
            </w:pPr>
            <w:r>
              <w:rPr>
                <w:rFonts w:ascii="Arial" w:hAnsi="Arial" w:cs="Arial"/>
                <w:bCs/>
              </w:rPr>
              <w:t>Guard periods for 3.75kHz UL transmissions</w:t>
            </w:r>
          </w:p>
          <w:p>
            <w:pPr>
              <w:rPr>
                <w:bCs/>
              </w:rPr>
            </w:pPr>
            <w:r>
              <w:rPr>
                <w:bCs/>
              </w:rPr>
              <w:t>The following combinations are considered for further simulation in RAN1 for 3.75kHz SCS OCC for NPUSCH format 1:</w:t>
            </w:r>
          </w:p>
          <w:p>
            <w:pPr>
              <w:pStyle w:val="109"/>
              <w:numPr>
                <w:ilvl w:val="0"/>
                <w:numId w:val="19"/>
              </w:numPr>
              <w:ind w:leftChars="0"/>
              <w:rPr>
                <w:bCs/>
              </w:rPr>
            </w:pPr>
            <w:r>
              <w:rPr>
                <w:bCs/>
              </w:rPr>
              <w:t>Option 1: OCC2, Symbol-level, TDM DMRS</w:t>
            </w:r>
          </w:p>
          <w:p>
            <w:pPr>
              <w:pStyle w:val="109"/>
              <w:numPr>
                <w:ilvl w:val="0"/>
                <w:numId w:val="19"/>
              </w:numPr>
              <w:ind w:leftChars="0"/>
              <w:rPr>
                <w:bCs/>
              </w:rPr>
            </w:pPr>
            <w:r>
              <w:rPr>
                <w:bCs/>
              </w:rPr>
              <w:t>Option 2: OCC2, Symbol-level, CDM DMRS with new pattern</w:t>
            </w:r>
          </w:p>
          <w:p>
            <w:pPr>
              <w:pStyle w:val="109"/>
              <w:numPr>
                <w:ilvl w:val="0"/>
                <w:numId w:val="19"/>
              </w:numPr>
              <w:ind w:leftChars="0"/>
              <w:rPr>
                <w:bCs/>
              </w:rPr>
            </w:pPr>
            <w:r>
              <w:rPr>
                <w:bCs/>
              </w:rPr>
              <w:t>Option 3: OCC2, Slot-level, TDM DMRS</w:t>
            </w:r>
          </w:p>
          <w:p>
            <w:pPr>
              <w:pStyle w:val="109"/>
              <w:numPr>
                <w:ilvl w:val="0"/>
                <w:numId w:val="19"/>
              </w:numPr>
              <w:ind w:leftChars="0"/>
              <w:rPr>
                <w:bCs/>
              </w:rPr>
            </w:pPr>
            <w:r>
              <w:rPr>
                <w:bCs/>
              </w:rPr>
              <w:t>Option 4: OCC2, Slot-level, CDM DMRS with legacy pattern</w:t>
            </w:r>
          </w:p>
          <w:p>
            <w:pPr>
              <w:pStyle w:val="109"/>
              <w:numPr>
                <w:ilvl w:val="0"/>
                <w:numId w:val="19"/>
              </w:numPr>
              <w:ind w:leftChars="0"/>
            </w:pPr>
            <w:r>
              <w:rPr>
                <w:bCs/>
              </w:rPr>
              <w:t>Option 6: OCC4, Symbol-level, CDM DMRS with new pattern</w:t>
            </w:r>
          </w:p>
          <w:p>
            <w:pPr>
              <w:rPr>
                <w:bCs/>
              </w:rPr>
            </w:pPr>
          </w:p>
          <w:p>
            <w:pPr>
              <w:rPr>
                <w:bCs/>
              </w:rPr>
            </w:pPr>
            <w:r>
              <w:rPr>
                <w:bCs/>
              </w:rPr>
              <w:t>The following combinations are considered for further simulation in RAN1 for 15kHz SCS OCC for NPUSCH format 1:</w:t>
            </w:r>
          </w:p>
          <w:p>
            <w:pPr>
              <w:pStyle w:val="109"/>
              <w:numPr>
                <w:ilvl w:val="0"/>
                <w:numId w:val="19"/>
              </w:numPr>
              <w:ind w:leftChars="0"/>
              <w:rPr>
                <w:bCs/>
              </w:rPr>
            </w:pPr>
            <w:r>
              <w:rPr>
                <w:bCs/>
              </w:rPr>
              <w:t>Option 1: OCC2, Symbol-level, TDM DMRS</w:t>
            </w:r>
          </w:p>
          <w:p>
            <w:pPr>
              <w:pStyle w:val="109"/>
              <w:numPr>
                <w:ilvl w:val="0"/>
                <w:numId w:val="19"/>
              </w:numPr>
              <w:ind w:leftChars="0"/>
              <w:rPr>
                <w:bCs/>
              </w:rPr>
            </w:pPr>
            <w:r>
              <w:rPr>
                <w:bCs/>
              </w:rPr>
              <w:t>Option 3: OCC2, Slot-level, TDM DMRS</w:t>
            </w:r>
          </w:p>
          <w:p>
            <w:pPr>
              <w:pStyle w:val="109"/>
              <w:numPr>
                <w:ilvl w:val="0"/>
                <w:numId w:val="19"/>
              </w:numPr>
              <w:ind w:leftChars="0"/>
              <w:rPr>
                <w:bCs/>
              </w:rPr>
            </w:pPr>
            <w:r>
              <w:rPr>
                <w:bCs/>
              </w:rPr>
              <w:t>Option 4: OCC2, Slot-level, CDM DMRS with legacy pattern</w:t>
            </w:r>
          </w:p>
          <w:p>
            <w:pPr>
              <w:pStyle w:val="109"/>
              <w:numPr>
                <w:ilvl w:val="0"/>
                <w:numId w:val="19"/>
              </w:numPr>
              <w:ind w:leftChars="0"/>
              <w:rPr>
                <w:bCs/>
              </w:rPr>
            </w:pPr>
            <w:r>
              <w:rPr>
                <w:bCs/>
              </w:rPr>
              <w:t>Option 5: OCC4, Symbol-level, TDM DMRS</w:t>
            </w:r>
          </w:p>
          <w:p>
            <w:pPr>
              <w:pStyle w:val="109"/>
              <w:numPr>
                <w:ilvl w:val="0"/>
                <w:numId w:val="19"/>
              </w:numPr>
              <w:ind w:leftChars="0"/>
              <w:rPr>
                <w:bCs/>
              </w:rPr>
            </w:pPr>
            <w:r>
              <w:rPr>
                <w:bCs/>
              </w:rPr>
              <w:t>Option 7: OCC4, Slot -level, TDM DMRS</w:t>
            </w:r>
          </w:p>
          <w:p>
            <w:pPr>
              <w:pStyle w:val="109"/>
              <w:numPr>
                <w:ilvl w:val="0"/>
                <w:numId w:val="19"/>
              </w:numPr>
              <w:ind w:leftChars="0"/>
              <w:rPr>
                <w:bCs/>
              </w:rPr>
            </w:pPr>
            <w:r>
              <w:rPr>
                <w:bCs/>
              </w:rPr>
              <w:t>Option 8: OCC4, Slot-level, CDM DMRS with legacy pattern</w:t>
            </w:r>
          </w:p>
          <w:p>
            <w:pPr>
              <w:rPr>
                <w:lang w:eastAsia="ar-SA"/>
              </w:rPr>
            </w:pPr>
          </w:p>
          <w:p>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pPr>
              <w:rPr>
                <w:bCs/>
                <w:lang w:eastAsia="ar-SA"/>
              </w:rPr>
            </w:pPr>
            <w:r>
              <w:rPr>
                <w:bCs/>
                <w:lang w:eastAsia="ar-SA"/>
              </w:rPr>
              <w:t>Note 2: Companies to report DMRS sequence applied.</w:t>
            </w:r>
          </w:p>
          <w:p>
            <w:pPr>
              <w:rPr>
                <w:rFonts w:hint="default" w:eastAsia="宋体"/>
                <w:vertAlign w:val="baseline"/>
                <w:lang w:val="en-US" w:eastAsia="zh-CN"/>
              </w:rPr>
            </w:pPr>
          </w:p>
          <w:p>
            <w:pPr>
              <w:rPr>
                <w:rFonts w:hint="default" w:eastAsia="宋体"/>
                <w:vertAlign w:val="baseline"/>
                <w:lang w:val="en-US" w:eastAsia="zh-CN"/>
              </w:rPr>
            </w:pPr>
            <w:r>
              <w:rPr>
                <w:bCs/>
                <w:szCs w:val="20"/>
              </w:rPr>
              <w:t>For 3.75kHz SCS, NPUSCH format 1 simulations are performed using an appropriate MCS with SNR at least in the range of -8dB to 0dB.</w:t>
            </w:r>
          </w:p>
        </w:tc>
      </w:tr>
    </w:tbl>
    <w:p>
      <w:pPr>
        <w:pStyle w:val="60"/>
        <w:spacing w:after="0"/>
        <w:ind w:left="0" w:firstLine="0"/>
        <w:rPr>
          <w:rFonts w:hint="default" w:eastAsia="宋体"/>
          <w:lang w:val="en-US" w:eastAsia="zh-CN"/>
        </w:rPr>
      </w:pPr>
      <w:r>
        <w:rPr>
          <w:rFonts w:hint="eastAsia" w:eastAsia="宋体"/>
          <w:lang w:val="en-US" w:eastAsia="zh-CN"/>
        </w:rPr>
        <w:t>Based on above agreements, RAN1 will not consider multiplexing more than 4 UEs. Applying OCC for CB-Msg3 procedure is beneficial for UL capacity improvement. However OCC enhancements is just for NB-IoT based on the WID scope, and RAN2 agreed in 125bis meeting that both NB-IoT and eMTC are within the scope of uplink capacity enhancements, which only for EDT enhancements. Therefore, maybe we could consider to combination OCC and CB-Msg3 for NB-IoT at least.</w:t>
      </w:r>
    </w:p>
    <w:p>
      <w:pPr>
        <w:pStyle w:val="60"/>
        <w:spacing w:after="0"/>
        <w:ind w:left="0" w:firstLine="0"/>
        <w:rPr>
          <w:rFonts w:hint="default" w:eastAsia="宋体"/>
          <w:lang w:val="en-US" w:eastAsia="zh-CN"/>
        </w:rPr>
      </w:pPr>
      <w:r>
        <w:rPr>
          <w:rFonts w:hint="eastAsia" w:eastAsia="宋体"/>
          <w:b/>
          <w:bCs w:val="0"/>
          <w:i w:val="0"/>
          <w:iCs w:val="0"/>
          <w:lang w:val="en-US" w:eastAsia="zh-CN"/>
        </w:rPr>
        <w:t>Proposal 9: Suggest RAN2 to discuss combination OCC and CB-Msg3 for NB-IoT for UL capacity improvement.</w:t>
      </w:r>
    </w:p>
    <w:p>
      <w:pPr>
        <w:pStyle w:val="3"/>
        <w:bidi w:val="0"/>
        <w:rPr>
          <w:rFonts w:hint="default" w:eastAsiaTheme="minorEastAsia"/>
          <w:b/>
          <w:bCs/>
          <w:sz w:val="24"/>
          <w:szCs w:val="24"/>
          <w:u w:val="single"/>
          <w:lang w:val="en-US" w:eastAsia="zh-CN"/>
        </w:rPr>
      </w:pPr>
      <w:r>
        <w:rPr>
          <w:rFonts w:hint="eastAsia" w:eastAsia="宋体" w:cs="Arial"/>
          <w:b/>
          <w:bCs/>
          <w:sz w:val="24"/>
          <w:szCs w:val="24"/>
          <w:lang w:val="en-US" w:eastAsia="zh-CN"/>
        </w:rPr>
        <w:t xml:space="preserve"> Diversity Slotted ALOHA (DSA) and Contention Resolution Diversity Slotted Aloha (CRDSA)</w:t>
      </w:r>
    </w:p>
    <w:p>
      <w:pPr>
        <w:pStyle w:val="60"/>
        <w:spacing w:after="0"/>
        <w:ind w:left="0" w:firstLine="0"/>
        <w:rPr>
          <w:rFonts w:hint="eastAsia" w:eastAsia="宋体"/>
          <w:lang w:val="en-US" w:eastAsia="zh-CN"/>
        </w:rPr>
      </w:pPr>
      <w:r>
        <w:rPr>
          <w:rFonts w:hint="eastAsia" w:eastAsiaTheme="minorEastAsia"/>
          <w:b w:val="0"/>
          <w:bCs w:val="0"/>
          <w:sz w:val="20"/>
          <w:szCs w:val="20"/>
          <w:lang w:val="en-US" w:eastAsia="zh-CN"/>
        </w:rPr>
        <w:t xml:space="preserve">Two interesting solutions Diversity Slotted ALOHA (DSA) and Contention Resolution Diversity Slotted Aloha (CRDSA) were further discussed in last meeting, some companies prefer to study the solution while some companies pointed out that the CRDSA solution is fascinating but maybe too new for R19, and RAN1 should be also involved. The discussion is postponed to this meeting to </w:t>
      </w:r>
      <w:r>
        <w:t>evaluat</w:t>
      </w:r>
      <w:r>
        <w:rPr>
          <w:rFonts w:hint="eastAsia" w:eastAsia="宋体"/>
          <w:lang w:val="en-US" w:eastAsia="zh-CN"/>
        </w:rPr>
        <w:t>e</w:t>
      </w:r>
      <w:r>
        <w:t xml:space="preserve"> possible impacts on the specification</w:t>
      </w:r>
      <w:r>
        <w:rPr>
          <w:rFonts w:hint="eastAsia" w:eastAsia="宋体"/>
          <w:lang w:val="en-US" w:eastAsia="zh-CN"/>
        </w:rPr>
        <w:t xml:space="preserve"> and whether an LS to RAN1 is needed. </w:t>
      </w:r>
    </w:p>
    <w:p>
      <w:pPr>
        <w:pStyle w:val="60"/>
        <w:spacing w:after="0"/>
        <w:ind w:left="0" w:firstLine="0"/>
        <w:rPr>
          <w:rFonts w:hint="default" w:eastAsia="宋体"/>
          <w:lang w:val="en-US" w:eastAsia="zh-CN"/>
        </w:rPr>
      </w:pPr>
      <w:r>
        <w:rPr>
          <w:rFonts w:hint="eastAsia" w:eastAsia="宋体"/>
          <w:lang w:val="en-US" w:eastAsia="zh-CN"/>
        </w:rPr>
        <w:t>DSA is indicated in [3] that it could help to improve the Msg3 EDT (without msg1) throughput by about a factor of 4.5 without any impacts on the current receiver implementation at the network, and minimal specification impact overall.</w:t>
      </w:r>
    </w:p>
    <w:p>
      <w:pPr>
        <w:pStyle w:val="60"/>
        <w:spacing w:after="0"/>
        <w:ind w:left="0" w:firstLine="0"/>
        <w:rPr>
          <w:rFonts w:hint="default" w:eastAsia="宋体"/>
          <w:b/>
          <w:bCs w:val="0"/>
          <w:i w:val="0"/>
          <w:iCs w:val="0"/>
          <w:lang w:val="en-US" w:eastAsia="zh-CN"/>
        </w:rPr>
      </w:pPr>
      <w:r>
        <w:rPr>
          <w:rFonts w:hint="eastAsia" w:eastAsia="宋体"/>
          <w:lang w:val="en-US" w:eastAsia="zh-CN"/>
        </w:rPr>
        <w:t xml:space="preserve">Then regarding the CRDSA, it support to generate two or more replicas of the same packet at random time within a frame (as shown in figure 3), each packet includes the slot position information of the corresponding twin packet within the frame and packet collisions could be cleared up through a simple but effective iterative interference cancellation mechanism which is that to use frame composition information from the replica packet. Specifically, if one clean packet 3 in slot 5 is successfully received, then this information could be used to cancel the interference caused by packet 3 in slot 4 and packet 2 could be decoded successfully and so on. With a simple iterative interference cancellation solution, most packets could be recovered. Obviously, the main benefits of CRDSA are packet loss ratio improvement, transmission delay reduction and higher throughput. And in [3] and [4], there are simulation to prove the better throughput performance of the CRDSA compared to DSA. </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object>
          <v:shape id="_x0000_i1025" o:spt="75" type="#_x0000_t75" style="height:109.85pt;width:481.8pt;" o:ole="t" filled="f" o:preferrelative="t" stroked="f" coordsize="21600,21600">
            <v:path/>
            <v:fill on="f" focussize="0,0"/>
            <v:stroke on="f"/>
            <v:imagedata r:id="rId14" o:title=""/>
            <o:lock v:ext="edit" aspectratio="f"/>
            <w10:wrap type="none"/>
            <w10:anchorlock/>
          </v:shape>
          <o:OLEObject Type="Embed" ProgID="Visio.Drawing.11" ShapeID="_x0000_i1025" DrawAspect="Content" ObjectID="_1468075725" r:id="rId13">
            <o:LockedField>false</o:LockedField>
          </o:OLEObject>
        </w:object>
      </w:r>
    </w:p>
    <w:p>
      <w:pPr>
        <w:pStyle w:val="60"/>
        <w:spacing w:after="0"/>
        <w:ind w:left="0" w:firstLine="0"/>
        <w:jc w:val="center"/>
        <w:rPr>
          <w:rFonts w:hint="default" w:eastAsia="宋体"/>
          <w:b/>
          <w:bCs w:val="0"/>
          <w:i w:val="0"/>
          <w:iCs w:val="0"/>
          <w:lang w:val="en-US" w:eastAsia="zh-CN"/>
        </w:rPr>
      </w:pPr>
      <w:r>
        <w:rPr>
          <w:rFonts w:hint="eastAsia" w:eastAsia="宋体"/>
          <w:b/>
          <w:bCs w:val="0"/>
          <w:i w:val="0"/>
          <w:iCs w:val="0"/>
          <w:lang w:val="en-US" w:eastAsia="zh-CN"/>
        </w:rPr>
        <w:t>Figure 3 Example CRDSATDMA frame structure for the Random Access</w:t>
      </w:r>
    </w:p>
    <w:p>
      <w:pPr>
        <w:pStyle w:val="60"/>
        <w:spacing w:after="0"/>
        <w:ind w:left="0" w:firstLine="0"/>
        <w:rPr>
          <w:rFonts w:hint="eastAsia" w:eastAsia="宋体"/>
          <w:b/>
          <w:bCs w:val="0"/>
          <w:i w:val="0"/>
          <w:iCs w:val="0"/>
          <w:lang w:val="en-US" w:eastAsia="zh-CN"/>
        </w:rPr>
      </w:pPr>
    </w:p>
    <w:p>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 xml:space="preserve">Observation 3: CRDSA provides a better throughput performance of the CRDSA compared to DSA. </w:t>
      </w:r>
    </w:p>
    <w:p>
      <w:pPr>
        <w:pStyle w:val="60"/>
        <w:spacing w:after="0"/>
        <w:ind w:left="0" w:firstLine="0"/>
        <w:rPr>
          <w:rFonts w:hint="eastAsia" w:eastAsia="宋体"/>
          <w:b/>
          <w:bCs w:val="0"/>
          <w:i w:val="0"/>
          <w:iCs w:val="0"/>
          <w:lang w:val="en-US" w:eastAsia="zh-CN"/>
        </w:rPr>
      </w:pPr>
    </w:p>
    <w:p>
      <w:pPr>
        <w:pStyle w:val="60"/>
        <w:spacing w:after="0"/>
        <w:ind w:left="0" w:firstLine="0"/>
        <w:rPr>
          <w:rFonts w:hint="eastAsia" w:eastAsia="宋体"/>
          <w:b w:val="0"/>
          <w:bCs/>
          <w:i w:val="0"/>
          <w:iCs w:val="0"/>
          <w:lang w:val="en-US" w:eastAsia="zh-CN"/>
        </w:rPr>
      </w:pPr>
      <w:r>
        <w:rPr>
          <w:rFonts w:hint="eastAsia" w:eastAsia="宋体"/>
          <w:b w:val="0"/>
          <w:bCs/>
          <w:i w:val="0"/>
          <w:iCs w:val="0"/>
          <w:lang w:val="en-US" w:eastAsia="zh-CN"/>
        </w:rPr>
        <w:t>Although CRDSA have been supported and practically demonstrated in the satellite DVB-RCS2 standard and may be beneficial for IoT-NTN [3], while for R19, such CRDSA or similar schemes may be too innovative and high packets load would also lead to dead lock issue. Therefore in R19 IoT-NTN, suggest RAN2 deprioritize the discussion of CRDSA in R19 considering the limited TUs or if majority prefer to discuss, an LS to RAN1 to make more evaluation about CRDSA or similar schemes is needed.</w:t>
      </w:r>
    </w:p>
    <w:p>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Proposal 10: It is proposed that deprioritize the discussion of CRDSA in R19 considering the limited TUs or if majority prefer to discuss, an LS to RAN1 to make more evaluation about CRDSA or similar schemes is needed.</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Theme="minorEastAsia"/>
          <w:sz w:val="20"/>
          <w:szCs w:val="20"/>
          <w:lang w:val="en-US" w:eastAsia="zh-CN"/>
        </w:rPr>
        <w:t xml:space="preserve">EDT </w:t>
      </w:r>
      <w:r>
        <w:rPr>
          <w:rFonts w:hint="eastAsia" w:eastAsiaTheme="minorEastAsia"/>
          <w:sz w:val="20"/>
          <w:szCs w:val="20"/>
          <w:lang w:eastAsia="zh-CN"/>
        </w:rPr>
        <w:t xml:space="preserve">enhancements for </w:t>
      </w:r>
      <w:r>
        <w:rPr>
          <w:rFonts w:hint="eastAsia" w:eastAsiaTheme="minorEastAsia"/>
          <w:sz w:val="20"/>
          <w:szCs w:val="20"/>
          <w:lang w:val="en-US" w:eastAsia="zh-CN"/>
        </w:rPr>
        <w:t>IoT-NTN</w:t>
      </w:r>
      <w:r>
        <w:rPr>
          <w:rFonts w:eastAsiaTheme="minorEastAsia"/>
          <w:sz w:val="20"/>
          <w:szCs w:val="20"/>
          <w:lang w:eastAsia="zh-CN"/>
        </w:rPr>
        <w:t xml:space="preserve"> </w:t>
      </w:r>
      <w:r>
        <w:rPr>
          <w:rFonts w:eastAsia="宋体" w:cs="Arial"/>
          <w:sz w:val="20"/>
          <w:szCs w:val="20"/>
        </w:rPr>
        <w:t>and have the following</w:t>
      </w:r>
      <w:r>
        <w:rPr>
          <w:rFonts w:hint="eastAsia" w:eastAsia="宋体" w:cs="Arial"/>
          <w:sz w:val="20"/>
          <w:szCs w:val="20"/>
          <w:lang w:val="en-US" w:eastAsia="zh-CN"/>
        </w:rPr>
        <w:t xml:space="preserve"> observations and</w:t>
      </w:r>
      <w:r>
        <w:rPr>
          <w:rFonts w:eastAsia="宋体" w:cs="Arial"/>
          <w:sz w:val="20"/>
          <w:szCs w:val="20"/>
        </w:rPr>
        <w:t xml:space="preserve"> proposals:</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default" w:eastAsia="宋体" w:cs="Arial"/>
          <w:sz w:val="20"/>
          <w:szCs w:val="20"/>
          <w:lang w:val="en-US" w:eastAsia="zh-CN"/>
        </w:rPr>
      </w:pPr>
      <w:r>
        <w:rPr>
          <w:rFonts w:hint="eastAsia" w:eastAsia="宋体" w:cs="Arial"/>
          <w:b/>
          <w:bCs/>
          <w:sz w:val="20"/>
          <w:szCs w:val="20"/>
          <w:lang w:val="en-US" w:eastAsia="zh-CN"/>
        </w:rPr>
        <w:t>Observation 1: Based on the feedback from RAN1/4, the pre-compensated TA could satisfy the required timing accuracy for Msg3 transmission without Msg1/Msg2.</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eastAsia="宋体" w:cs="Arial"/>
          <w:b/>
          <w:bCs/>
          <w:sz w:val="20"/>
          <w:szCs w:val="20"/>
          <w:lang w:val="en-US" w:eastAsia="zh-CN"/>
        </w:rPr>
      </w:pPr>
      <w:r>
        <w:rPr>
          <w:rFonts w:hint="eastAsia" w:eastAsia="宋体" w:cs="Arial"/>
          <w:b/>
          <w:bCs/>
          <w:sz w:val="20"/>
          <w:szCs w:val="20"/>
          <w:lang w:val="en-US" w:eastAsia="zh-CN"/>
        </w:rPr>
        <w:t>Proposal 1: RAN2 could confirm to continue work on a CB-Msg3 EDT-like mechanism.</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eastAsia="宋体" w:cs="Arial"/>
          <w:b/>
          <w:bCs/>
          <w:sz w:val="20"/>
          <w:szCs w:val="20"/>
          <w:lang w:val="en-US" w:eastAsia="zh-CN"/>
        </w:rPr>
      </w:pPr>
    </w:p>
    <w:p>
      <w:pPr>
        <w:keepNext w:val="0"/>
        <w:keepLines w:val="0"/>
        <w:pageBreakBefore w:val="0"/>
        <w:widowControl/>
        <w:kinsoku/>
        <w:wordWrap/>
        <w:overflowPunct w:val="0"/>
        <w:topLinePunct w:val="0"/>
        <w:autoSpaceDE w:val="0"/>
        <w:autoSpaceDN w:val="0"/>
        <w:bidi w:val="0"/>
        <w:adjustRightInd w:val="0"/>
        <w:snapToGrid/>
        <w:spacing w:after="120"/>
        <w:textAlignment w:val="baseline"/>
        <w:rPr>
          <w:rFonts w:hint="default" w:eastAsia="宋体" w:cs="Arial"/>
          <w:b/>
          <w:bCs/>
          <w:i/>
          <w:iCs/>
          <w:sz w:val="20"/>
          <w:szCs w:val="20"/>
          <w:highlight w:val="lightGray"/>
          <w:u w:val="single"/>
          <w:lang w:val="en-US" w:eastAsia="zh-CN"/>
        </w:rPr>
      </w:pPr>
      <w:r>
        <w:rPr>
          <w:rFonts w:hint="default" w:eastAsia="宋体" w:cs="Arial"/>
          <w:b/>
          <w:bCs/>
          <w:i/>
          <w:iCs/>
          <w:sz w:val="20"/>
          <w:szCs w:val="20"/>
          <w:highlight w:val="lightGray"/>
          <w:u w:val="single"/>
          <w:lang w:val="en-US" w:eastAsia="zh-CN"/>
        </w:rPr>
        <w:t>Contention-based Msg3 transmission</w:t>
      </w:r>
      <w:r>
        <w:rPr>
          <w:rFonts w:hint="eastAsia" w:eastAsia="宋体" w:cs="Arial"/>
          <w:b/>
          <w:bCs/>
          <w:i/>
          <w:iCs/>
          <w:sz w:val="20"/>
          <w:szCs w:val="20"/>
          <w:highlight w:val="lightGray"/>
          <w:u w:val="single"/>
          <w:lang w:val="en-US" w:eastAsia="zh-CN"/>
        </w:rPr>
        <w:t>:</w:t>
      </w:r>
    </w:p>
    <w:p>
      <w:pPr>
        <w:pStyle w:val="60"/>
        <w:numPr>
          <w:ilvl w:val="0"/>
          <w:numId w:val="0"/>
        </w:numPr>
        <w:overflowPunct w:val="0"/>
        <w:autoSpaceDE w:val="0"/>
        <w:autoSpaceDN w:val="0"/>
        <w:adjustRightInd w:val="0"/>
        <w:spacing w:after="0"/>
        <w:jc w:val="left"/>
        <w:textAlignment w:val="baseline"/>
        <w:rPr>
          <w:rFonts w:hint="default" w:eastAsia="宋体"/>
          <w:b/>
          <w:bCs w:val="0"/>
          <w:i w:val="0"/>
          <w:iCs w:val="0"/>
          <w:lang w:val="en-US" w:eastAsia="zh-CN"/>
        </w:rPr>
      </w:pPr>
      <w:r>
        <w:rPr>
          <w:rFonts w:hint="eastAsia" w:eastAsia="宋体"/>
          <w:b/>
          <w:bCs w:val="0"/>
          <w:i w:val="0"/>
          <w:iCs w:val="0"/>
          <w:lang w:val="en-US" w:eastAsia="zh-CN"/>
        </w:rPr>
        <w:t>Observation 2: There are two types of trigger conditions for existing MO-EDT, that is request the establishment or resumption of the RRC Connection for Mobile Originated data by upper layers and whether the the uplink data size is less than or equal to a TB size indicated in the system information.</w:t>
      </w:r>
    </w:p>
    <w:p>
      <w:pPr>
        <w:pStyle w:val="60"/>
        <w:numPr>
          <w:ilvl w:val="0"/>
          <w:numId w:val="0"/>
        </w:numPr>
        <w:overflowPunct w:val="0"/>
        <w:autoSpaceDE w:val="0"/>
        <w:autoSpaceDN w:val="0"/>
        <w:adjustRightInd w:val="0"/>
        <w:spacing w:after="0"/>
        <w:jc w:val="left"/>
        <w:textAlignment w:val="baseline"/>
        <w:rPr>
          <w:rFonts w:hint="default" w:eastAsia="宋体"/>
          <w:b/>
          <w:bCs w:val="0"/>
          <w:i w:val="0"/>
          <w:iCs w:val="0"/>
          <w:lang w:val="en-US" w:eastAsia="zh-CN"/>
        </w:rPr>
      </w:pPr>
      <w:r>
        <w:rPr>
          <w:rFonts w:hint="eastAsia" w:eastAsia="宋体"/>
          <w:b/>
          <w:bCs w:val="0"/>
          <w:i w:val="0"/>
          <w:iCs w:val="0"/>
          <w:lang w:val="en-US" w:eastAsia="zh-CN"/>
        </w:rPr>
        <w:t>Proposal 2: For the trigger of contention-based Msg3 transmission in IoT-NTN, it is at least to support the establishment or resumption of the RRC Connection requested by the upper layers.</w:t>
      </w:r>
    </w:p>
    <w:p>
      <w:pPr>
        <w:pStyle w:val="60"/>
        <w:numPr>
          <w:ilvl w:val="0"/>
          <w:numId w:val="0"/>
        </w:numPr>
        <w:overflowPunct w:val="0"/>
        <w:autoSpaceDE w:val="0"/>
        <w:autoSpaceDN w:val="0"/>
        <w:adjustRightInd w:val="0"/>
        <w:spacing w:after="0"/>
        <w:jc w:val="left"/>
        <w:textAlignment w:val="baseline"/>
        <w:rPr>
          <w:rFonts w:hint="eastAsia" w:eastAsia="宋体"/>
          <w:b/>
          <w:bCs w:val="0"/>
          <w:i w:val="0"/>
          <w:iCs w:val="0"/>
          <w:lang w:val="en-US" w:eastAsia="zh-CN"/>
        </w:rPr>
      </w:pPr>
      <w:r>
        <w:rPr>
          <w:rFonts w:hint="eastAsia" w:eastAsia="宋体"/>
          <w:b/>
          <w:bCs w:val="0"/>
          <w:i w:val="0"/>
          <w:iCs w:val="0"/>
          <w:lang w:val="en-US" w:eastAsia="zh-CN"/>
        </w:rPr>
        <w:t>Proposal 3: For the Msg3 content in contention-based Msg3 transmission for EDT in IoT-NTN, the Msg3 content in current MO-EDT could be the baseline.</w:t>
      </w:r>
    </w:p>
    <w:p>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Proposal 4: For resource allocation, one or more contention-based PUR pool(s) could be configured via broadcast manner.</w:t>
      </w:r>
    </w:p>
    <w:p>
      <w:pPr>
        <w:pStyle w:val="60"/>
        <w:spacing w:after="0"/>
        <w:ind w:left="0" w:firstLine="0"/>
        <w:rPr>
          <w:rFonts w:hint="eastAsia" w:eastAsia="宋体"/>
          <w:lang w:val="en-US" w:eastAsia="zh-CN"/>
        </w:rPr>
      </w:pPr>
      <w:r>
        <w:rPr>
          <w:rFonts w:hint="eastAsia" w:eastAsia="宋体"/>
          <w:b/>
          <w:bCs w:val="0"/>
          <w:i w:val="0"/>
          <w:iCs w:val="0"/>
          <w:lang w:val="en-US" w:eastAsia="zh-CN"/>
        </w:rPr>
        <w:t>Proposal 5: A similar contention resolution scheme in CBRA procedure (i.e. whether Msg4 carrying a UE Contention Resolution Identity matches the 48 first bits of the CCCH SDU transmitted in Msg3) could be considered as the baseline to resolve the collision issue of EDT based on CBS PUR.</w:t>
      </w:r>
    </w:p>
    <w:p>
      <w:pPr>
        <w:pStyle w:val="60"/>
        <w:numPr>
          <w:ilvl w:val="0"/>
          <w:numId w:val="0"/>
        </w:numPr>
        <w:overflowPunct w:val="0"/>
        <w:autoSpaceDE w:val="0"/>
        <w:autoSpaceDN w:val="0"/>
        <w:adjustRightInd w:val="0"/>
        <w:spacing w:after="0"/>
        <w:jc w:val="left"/>
        <w:textAlignment w:val="baseline"/>
        <w:rPr>
          <w:rFonts w:hint="default" w:eastAsia="宋体"/>
          <w:b/>
          <w:bCs w:val="0"/>
          <w:i w:val="0"/>
          <w:iCs w:val="0"/>
          <w:lang w:val="en-US" w:eastAsia="zh-CN"/>
        </w:rPr>
      </w:pPr>
      <w:r>
        <w:rPr>
          <w:rFonts w:hint="eastAsia" w:eastAsia="宋体"/>
          <w:b/>
          <w:bCs w:val="0"/>
          <w:i w:val="0"/>
          <w:iCs w:val="0"/>
          <w:lang w:val="en-US" w:eastAsia="zh-CN"/>
        </w:rPr>
        <w:t>Proposal 6: If combination EDT and contention-based PUR is supported, the above procedure could be the baseline.</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7: It is proposed to introduce a maximum number of EDT transmissions based on shared PUR resource to avoid the more serious delay caused by too many attempts.</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 xml:space="preserve">Proposal 8: If UE attempts up to the maximum number of EDT transmissions, a fall back mechanism </w:t>
      </w:r>
      <w:bookmarkStart w:id="5" w:name="_GoBack"/>
      <w:r>
        <w:rPr>
          <w:rFonts w:hint="eastAsia" w:eastAsia="宋体"/>
          <w:b/>
          <w:bCs w:val="0"/>
          <w:i w:val="0"/>
          <w:iCs w:val="0"/>
          <w:lang w:val="en-US" w:eastAsia="zh-CN"/>
        </w:rPr>
        <w:t xml:space="preserve">could be considered, </w:t>
      </w:r>
      <w:r>
        <w:rPr>
          <w:rFonts w:hint="eastAsia" w:eastAsia="宋体"/>
          <w:b/>
          <w:bCs w:val="0"/>
          <w:lang w:val="en-US" w:eastAsia="zh-CN"/>
        </w:rPr>
        <w:t>i.e.,</w:t>
      </w:r>
      <w:r>
        <w:rPr>
          <w:rFonts w:hint="eastAsia" w:eastAsia="宋体"/>
          <w:b/>
          <w:bCs w:val="0"/>
          <w:i w:val="0"/>
          <w:iCs w:val="0"/>
          <w:lang w:val="en-US" w:eastAsia="zh-CN"/>
        </w:rPr>
        <w:t xml:space="preserve"> to perform legacy RACH procedure to obtain UL resource.</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9: Suggest RAN2 to discuss combination OCC and CB-Msg3 for NB-IoT for UL capacity improvement.</w:t>
      </w:r>
    </w:p>
    <w:bookmarkEnd w:id="5"/>
    <w:p>
      <w:pPr>
        <w:pStyle w:val="60"/>
        <w:keepNext w:val="0"/>
        <w:keepLines w:val="0"/>
        <w:pageBreakBefore w:val="0"/>
        <w:widowControl/>
        <w:kinsoku/>
        <w:wordWrap/>
        <w:overflowPunct w:val="0"/>
        <w:topLinePunct w:val="0"/>
        <w:autoSpaceDE w:val="0"/>
        <w:autoSpaceDN w:val="0"/>
        <w:bidi w:val="0"/>
        <w:adjustRightInd w:val="0"/>
        <w:snapToGrid/>
        <w:spacing w:after="120"/>
        <w:ind w:left="0" w:firstLine="0"/>
        <w:textAlignment w:val="baseline"/>
        <w:rPr>
          <w:rFonts w:hint="default" w:eastAsia="宋体"/>
          <w:b/>
          <w:bCs w:val="0"/>
          <w:i/>
          <w:iCs/>
          <w:highlight w:val="lightGray"/>
          <w:u w:val="single"/>
          <w:lang w:val="en-US" w:eastAsia="zh-CN"/>
        </w:rPr>
      </w:pPr>
      <w:r>
        <w:rPr>
          <w:rFonts w:hint="eastAsia" w:eastAsia="宋体"/>
          <w:b/>
          <w:bCs w:val="0"/>
          <w:i/>
          <w:iCs/>
          <w:highlight w:val="lightGray"/>
          <w:u w:val="single"/>
          <w:lang w:val="en-US" w:eastAsia="zh-CN"/>
        </w:rPr>
        <w:t>Diversity Slotted ALOHA (DSA) and Contention Resolution Diversity Slotted Aloha (CRDSA):</w:t>
      </w:r>
    </w:p>
    <w:p>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 xml:space="preserve">Observation 3: CRDSA provides a better throughput performance of the CRDSA compared to DSA. </w:t>
      </w:r>
    </w:p>
    <w:p>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Proposal 10: It is proposed that deprioritize the discussion of CRDSA in R19 considering the limited TUs or if majority prefer to discuss, an LS to RAN1 to make more evaluation about CRDSA or similar schemes is needed.</w:t>
      </w:r>
    </w:p>
    <w:p>
      <w:pPr>
        <w:pStyle w:val="2"/>
        <w:rPr>
          <w:rFonts w:cs="Arial"/>
          <w:sz w:val="32"/>
          <w:szCs w:val="32"/>
        </w:rPr>
      </w:pPr>
      <w:r>
        <w:rPr>
          <w:rFonts w:cs="Arial"/>
          <w:sz w:val="32"/>
          <w:szCs w:val="32"/>
        </w:rPr>
        <w:t>Reference</w:t>
      </w:r>
    </w:p>
    <w:p>
      <w:pPr>
        <w:pStyle w:val="29"/>
        <w:numPr>
          <w:ilvl w:val="0"/>
          <w:numId w:val="20"/>
        </w:numPr>
        <w:overflowPunct/>
        <w:autoSpaceDE/>
        <w:autoSpaceDN/>
        <w:adjustRightInd/>
        <w:spacing w:beforeLines="50" w:after="0"/>
        <w:jc w:val="left"/>
        <w:textAlignment w:val="auto"/>
        <w:rPr>
          <w:rFonts w:hint="eastAsia"/>
          <w:sz w:val="20"/>
          <w:szCs w:val="20"/>
        </w:rPr>
      </w:pPr>
      <w:bookmarkStart w:id="4" w:name="_In-sequence_SDU_delivery"/>
      <w:bookmarkEnd w:id="4"/>
      <w:r>
        <w:rPr>
          <w:rFonts w:hint="eastAsia"/>
          <w:sz w:val="20"/>
          <w:szCs w:val="20"/>
        </w:rPr>
        <w:t>R2-127 NR-NTN-IoT-NTN (Sergio)_ EOM</w:t>
      </w:r>
    </w:p>
    <w:p>
      <w:pPr>
        <w:pStyle w:val="29"/>
        <w:numPr>
          <w:ilvl w:val="0"/>
          <w:numId w:val="20"/>
        </w:numPr>
        <w:overflowPunct/>
        <w:autoSpaceDE/>
        <w:autoSpaceDN/>
        <w:adjustRightInd/>
        <w:spacing w:beforeLines="50" w:after="0"/>
        <w:jc w:val="left"/>
        <w:textAlignment w:val="auto"/>
        <w:rPr>
          <w:rFonts w:hint="eastAsia"/>
          <w:sz w:val="20"/>
          <w:szCs w:val="20"/>
        </w:rPr>
      </w:pPr>
      <w:r>
        <w:rPr>
          <w:rFonts w:hint="eastAsia"/>
          <w:sz w:val="20"/>
          <w:szCs w:val="20"/>
        </w:rPr>
        <w:t>3GPP TS 36.300 V18.</w:t>
      </w:r>
      <w:r>
        <w:rPr>
          <w:rFonts w:hint="eastAsia" w:eastAsia="宋体"/>
          <w:sz w:val="20"/>
          <w:szCs w:val="20"/>
          <w:lang w:val="en-US" w:eastAsia="zh-CN"/>
        </w:rPr>
        <w:t>1</w:t>
      </w:r>
      <w:r>
        <w:rPr>
          <w:rFonts w:hint="eastAsia"/>
          <w:sz w:val="20"/>
          <w:szCs w:val="20"/>
        </w:rPr>
        <w:t>.0</w:t>
      </w:r>
      <w:r>
        <w:rPr>
          <w:rFonts w:hint="eastAsia" w:eastAsia="宋体"/>
          <w:sz w:val="20"/>
          <w:szCs w:val="20"/>
          <w:lang w:val="en-US" w:eastAsia="zh-CN"/>
        </w:rPr>
        <w:t xml:space="preserve"> Evolved Universal Terrestrial Radio Access (E-UTRA) and Evolved Universal Terrestrial Radio Access Network (E-UTRAN); Overall description; Stage 2 (Release 18)</w:t>
      </w:r>
    </w:p>
    <w:p>
      <w:pPr>
        <w:pStyle w:val="29"/>
        <w:numPr>
          <w:ilvl w:val="0"/>
          <w:numId w:val="20"/>
        </w:numPr>
        <w:overflowPunct/>
        <w:autoSpaceDE/>
        <w:autoSpaceDN/>
        <w:adjustRightInd/>
        <w:spacing w:beforeLines="50" w:after="0"/>
        <w:jc w:val="left"/>
        <w:textAlignment w:val="auto"/>
        <w:rPr>
          <w:rFonts w:hint="eastAsia"/>
          <w:sz w:val="20"/>
          <w:szCs w:val="20"/>
        </w:rPr>
      </w:pPr>
      <w:r>
        <w:rPr>
          <w:rFonts w:hint="eastAsia"/>
          <w:sz w:val="20"/>
          <w:szCs w:val="20"/>
        </w:rPr>
        <w:t>R2-2407502</w:t>
      </w:r>
      <w:r>
        <w:rPr>
          <w:rFonts w:hint="eastAsia"/>
          <w:sz w:val="20"/>
          <w:szCs w:val="20"/>
        </w:rPr>
        <w:tab/>
      </w:r>
      <w:r>
        <w:rPr>
          <w:rFonts w:hint="eastAsia"/>
          <w:sz w:val="20"/>
          <w:szCs w:val="20"/>
        </w:rPr>
        <w:t>Discussion on DSA and CRDSA Performance</w:t>
      </w:r>
      <w:r>
        <w:rPr>
          <w:rFonts w:hint="eastAsia"/>
          <w:sz w:val="20"/>
          <w:szCs w:val="20"/>
        </w:rPr>
        <w:tab/>
      </w:r>
      <w:r>
        <w:rPr>
          <w:rFonts w:hint="eastAsia"/>
          <w:sz w:val="20"/>
          <w:szCs w:val="20"/>
        </w:rPr>
        <w:t>ESA, Eutelsat Group, Viasat, Inmarsat, Novamint, Echostar, Sateliot</w:t>
      </w:r>
      <w:r>
        <w:rPr>
          <w:rFonts w:hint="eastAsia"/>
          <w:sz w:val="20"/>
          <w:szCs w:val="20"/>
        </w:rPr>
        <w:tab/>
      </w:r>
      <w:r>
        <w:rPr>
          <w:rFonts w:hint="eastAsia"/>
          <w:sz w:val="20"/>
          <w:szCs w:val="20"/>
        </w:rPr>
        <w:t>discussion</w:t>
      </w:r>
      <w:r>
        <w:rPr>
          <w:rFonts w:hint="eastAsia"/>
          <w:sz w:val="20"/>
          <w:szCs w:val="20"/>
        </w:rPr>
        <w:tab/>
      </w:r>
      <w:r>
        <w:rPr>
          <w:rFonts w:hint="eastAsia"/>
          <w:sz w:val="20"/>
          <w:szCs w:val="20"/>
        </w:rPr>
        <w:t>Rel-19</w:t>
      </w:r>
    </w:p>
    <w:p>
      <w:pPr>
        <w:pStyle w:val="29"/>
        <w:numPr>
          <w:ilvl w:val="0"/>
          <w:numId w:val="20"/>
        </w:numPr>
        <w:overflowPunct/>
        <w:autoSpaceDE/>
        <w:autoSpaceDN/>
        <w:adjustRightInd/>
        <w:spacing w:beforeLines="50" w:after="0"/>
        <w:jc w:val="left"/>
        <w:textAlignment w:val="auto"/>
        <w:rPr>
          <w:rFonts w:hint="eastAsia"/>
          <w:sz w:val="20"/>
          <w:szCs w:val="20"/>
        </w:rPr>
      </w:pPr>
      <w:r>
        <w:rPr>
          <w:rFonts w:hint="eastAsia"/>
          <w:sz w:val="20"/>
          <w:szCs w:val="20"/>
        </w:rPr>
        <w:t>E. Casini, R. De Gaudenzi and O. Del Rio Herrero, "Contention Resolution Diversity Slotted ALOHA (CRDSA): An Enhanced Random-Access Scheme for Satellite Access Packet Networks," in IEEE Transactions on Wireless Communications, vol. 6, no. 4, pp. 1408-1419, April 2007.</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4</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4</w:t>
    </w:r>
    <w:r>
      <w:rPr>
        <w:rStyle w:val="50"/>
      </w:rPr>
      <w:fldChar w:fldCharType="end"/>
    </w:r>
    <w:r>
      <w:rPr>
        <w:rStyle w:val="5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3FA72B"/>
    <w:multiLevelType w:val="singleLevel"/>
    <w:tmpl w:val="9B3FA72B"/>
    <w:lvl w:ilvl="0" w:tentative="0">
      <w:start w:val="1"/>
      <w:numFmt w:val="decimal"/>
      <w:suff w:val="space"/>
      <w:lvlText w:val="%1."/>
      <w:lvlJc w:val="left"/>
    </w:lvl>
  </w:abstractNum>
  <w:abstractNum w:abstractNumId="1">
    <w:nsid w:val="C59A43A1"/>
    <w:multiLevelType w:val="singleLevel"/>
    <w:tmpl w:val="C59A43A1"/>
    <w:lvl w:ilvl="0" w:tentative="0">
      <w:start w:val="1"/>
      <w:numFmt w:val="decimal"/>
      <w:suff w:val="space"/>
      <w:lvlText w:val="[%1]"/>
      <w:lvlJc w:val="left"/>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3">
    <w:nsid w:val="144F120B"/>
    <w:multiLevelType w:val="singleLevel"/>
    <w:tmpl w:val="144F120B"/>
    <w:lvl w:ilvl="0" w:tentative="0">
      <w:start w:val="1"/>
      <w:numFmt w:val="bullet"/>
      <w:lvlText w:val=""/>
      <w:lvlJc w:val="left"/>
      <w:pPr>
        <w:ind w:left="420" w:hanging="420"/>
      </w:pPr>
      <w:rPr>
        <w:rFonts w:hint="default" w:ascii="Wingdings" w:hAnsi="Wingdings"/>
      </w:rPr>
    </w:lvl>
  </w:abstractNum>
  <w:abstractNum w:abstractNumId="4">
    <w:nsid w:val="27DC5A6E"/>
    <w:multiLevelType w:val="multilevel"/>
    <w:tmpl w:val="27DC5A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A4E208F"/>
    <w:multiLevelType w:val="multilevel"/>
    <w:tmpl w:val="2A4E208F"/>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B884185"/>
    <w:multiLevelType w:val="multilevel"/>
    <w:tmpl w:val="2B884185"/>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1F3038A"/>
    <w:multiLevelType w:val="multilevel"/>
    <w:tmpl w:val="31F3038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4724993"/>
    <w:multiLevelType w:val="multilevel"/>
    <w:tmpl w:val="34724993"/>
    <w:lvl w:ilvl="0" w:tentative="0">
      <w:start w:val="5"/>
      <w:numFmt w:val="bullet"/>
      <w:lvlText w:val=""/>
      <w:lvlJc w:val="left"/>
      <w:pPr>
        <w:ind w:left="420" w:hanging="420"/>
      </w:pPr>
      <w:rPr>
        <w:rFonts w:hint="default" w:ascii="Symbol" w:hAnsi="Symbol" w:eastAsia="Batang"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13">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4F734699"/>
    <w:multiLevelType w:val="multilevel"/>
    <w:tmpl w:val="4F7346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51D74D3"/>
    <w:multiLevelType w:val="multilevel"/>
    <w:tmpl w:val="551D74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8"/>
  </w:num>
  <w:num w:numId="3">
    <w:abstractNumId w:val="18"/>
  </w:num>
  <w:num w:numId="4">
    <w:abstractNumId w:val="13"/>
  </w:num>
  <w:num w:numId="5">
    <w:abstractNumId w:val="7"/>
  </w:num>
  <w:num w:numId="6">
    <w:abstractNumId w:val="12"/>
  </w:num>
  <w:num w:numId="7">
    <w:abstractNumId w:val="14"/>
  </w:num>
  <w:num w:numId="8">
    <w:abstractNumId w:val="11"/>
  </w:num>
  <w:num w:numId="9">
    <w:abstractNumId w:val="16"/>
  </w:num>
  <w:num w:numId="10">
    <w:abstractNumId w:val="19"/>
  </w:num>
  <w:num w:numId="11">
    <w:abstractNumId w:val="0"/>
  </w:num>
  <w:num w:numId="12">
    <w:abstractNumId w:val="10"/>
  </w:num>
  <w:num w:numId="13">
    <w:abstractNumId w:val="3"/>
  </w:num>
  <w:num w:numId="14">
    <w:abstractNumId w:val="15"/>
  </w:num>
  <w:num w:numId="15">
    <w:abstractNumId w:val="17"/>
  </w:num>
  <w:num w:numId="16">
    <w:abstractNumId w:val="4"/>
  </w:num>
  <w:num w:numId="17">
    <w:abstractNumId w:val="9"/>
  </w:num>
  <w:num w:numId="18">
    <w:abstractNumId w:val="6"/>
  </w:num>
  <w:num w:numId="19">
    <w:abstractNumId w:val="5"/>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0"/>
  <w:bordersDoNotSurroundFooter w:val="0"/>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00AC"/>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58B"/>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1315"/>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036AA"/>
    <w:rsid w:val="015B631E"/>
    <w:rsid w:val="016318F9"/>
    <w:rsid w:val="017A73D0"/>
    <w:rsid w:val="018E0749"/>
    <w:rsid w:val="019A10AD"/>
    <w:rsid w:val="01BF172D"/>
    <w:rsid w:val="01E74520"/>
    <w:rsid w:val="022F4B03"/>
    <w:rsid w:val="02744528"/>
    <w:rsid w:val="02877C19"/>
    <w:rsid w:val="028D67E7"/>
    <w:rsid w:val="02CC0A1F"/>
    <w:rsid w:val="02D27F6C"/>
    <w:rsid w:val="035845AA"/>
    <w:rsid w:val="03A11802"/>
    <w:rsid w:val="03F47F88"/>
    <w:rsid w:val="0416334A"/>
    <w:rsid w:val="048A5003"/>
    <w:rsid w:val="04A13B04"/>
    <w:rsid w:val="04B403C6"/>
    <w:rsid w:val="04BC080F"/>
    <w:rsid w:val="04BF107F"/>
    <w:rsid w:val="04D25727"/>
    <w:rsid w:val="04DA176A"/>
    <w:rsid w:val="04F07943"/>
    <w:rsid w:val="04F50E2F"/>
    <w:rsid w:val="051D3A75"/>
    <w:rsid w:val="05606A49"/>
    <w:rsid w:val="05983EBC"/>
    <w:rsid w:val="05A35E9B"/>
    <w:rsid w:val="06077EDA"/>
    <w:rsid w:val="06254DA5"/>
    <w:rsid w:val="06261BBF"/>
    <w:rsid w:val="0654248D"/>
    <w:rsid w:val="06565EAE"/>
    <w:rsid w:val="06724B04"/>
    <w:rsid w:val="07046057"/>
    <w:rsid w:val="078B43FE"/>
    <w:rsid w:val="078C1F33"/>
    <w:rsid w:val="07B241B1"/>
    <w:rsid w:val="07B959B1"/>
    <w:rsid w:val="07BD374D"/>
    <w:rsid w:val="07E769A5"/>
    <w:rsid w:val="07EF7893"/>
    <w:rsid w:val="08350D3C"/>
    <w:rsid w:val="083F0917"/>
    <w:rsid w:val="0841118C"/>
    <w:rsid w:val="08AF444E"/>
    <w:rsid w:val="08F65DA6"/>
    <w:rsid w:val="09133D3D"/>
    <w:rsid w:val="09BB5B6F"/>
    <w:rsid w:val="09E47F26"/>
    <w:rsid w:val="09F46CE4"/>
    <w:rsid w:val="0A1A51CE"/>
    <w:rsid w:val="0A3F21EB"/>
    <w:rsid w:val="0A5E59A5"/>
    <w:rsid w:val="0A9740DA"/>
    <w:rsid w:val="0AA40C7E"/>
    <w:rsid w:val="0ACC0F45"/>
    <w:rsid w:val="0B263982"/>
    <w:rsid w:val="0B4A1814"/>
    <w:rsid w:val="0B510D2F"/>
    <w:rsid w:val="0B767B3C"/>
    <w:rsid w:val="0BC8278A"/>
    <w:rsid w:val="0BCF37C5"/>
    <w:rsid w:val="0BD60B5C"/>
    <w:rsid w:val="0C0E133A"/>
    <w:rsid w:val="0C4B2410"/>
    <w:rsid w:val="0C984883"/>
    <w:rsid w:val="0CAE5B2E"/>
    <w:rsid w:val="0CD409FF"/>
    <w:rsid w:val="0D524167"/>
    <w:rsid w:val="0D587FCA"/>
    <w:rsid w:val="0D681ED9"/>
    <w:rsid w:val="0D6C179F"/>
    <w:rsid w:val="0DA013F6"/>
    <w:rsid w:val="0DDB664A"/>
    <w:rsid w:val="0E336CD8"/>
    <w:rsid w:val="0E794941"/>
    <w:rsid w:val="0E891356"/>
    <w:rsid w:val="0E997EF0"/>
    <w:rsid w:val="0EC440FF"/>
    <w:rsid w:val="0EF139CD"/>
    <w:rsid w:val="0F677C8C"/>
    <w:rsid w:val="0FB354FB"/>
    <w:rsid w:val="0FCC0A5A"/>
    <w:rsid w:val="0FE0018D"/>
    <w:rsid w:val="10221AC0"/>
    <w:rsid w:val="108131DD"/>
    <w:rsid w:val="108B7105"/>
    <w:rsid w:val="11043CD0"/>
    <w:rsid w:val="110F10D1"/>
    <w:rsid w:val="118D209C"/>
    <w:rsid w:val="11B82D63"/>
    <w:rsid w:val="11C5063A"/>
    <w:rsid w:val="123B45F5"/>
    <w:rsid w:val="12B27083"/>
    <w:rsid w:val="12BA7EC6"/>
    <w:rsid w:val="12C17224"/>
    <w:rsid w:val="12D20EAC"/>
    <w:rsid w:val="13116F0E"/>
    <w:rsid w:val="13132FCE"/>
    <w:rsid w:val="134A0035"/>
    <w:rsid w:val="135C7F4F"/>
    <w:rsid w:val="1382544E"/>
    <w:rsid w:val="13997B36"/>
    <w:rsid w:val="141B1C76"/>
    <w:rsid w:val="14A20FFB"/>
    <w:rsid w:val="14B82DC6"/>
    <w:rsid w:val="153214F9"/>
    <w:rsid w:val="153372CB"/>
    <w:rsid w:val="16150148"/>
    <w:rsid w:val="16563130"/>
    <w:rsid w:val="169343E9"/>
    <w:rsid w:val="16A42650"/>
    <w:rsid w:val="16AA08E2"/>
    <w:rsid w:val="16B421B4"/>
    <w:rsid w:val="16F24CA6"/>
    <w:rsid w:val="171B31CF"/>
    <w:rsid w:val="177E36D0"/>
    <w:rsid w:val="179450F0"/>
    <w:rsid w:val="17945CA4"/>
    <w:rsid w:val="180E362D"/>
    <w:rsid w:val="181B2E1C"/>
    <w:rsid w:val="18571522"/>
    <w:rsid w:val="18787128"/>
    <w:rsid w:val="18B278BB"/>
    <w:rsid w:val="18B9619D"/>
    <w:rsid w:val="190A668D"/>
    <w:rsid w:val="191242AE"/>
    <w:rsid w:val="195B3A6D"/>
    <w:rsid w:val="19AC5C42"/>
    <w:rsid w:val="19BC1AC5"/>
    <w:rsid w:val="19D92839"/>
    <w:rsid w:val="1A201089"/>
    <w:rsid w:val="1A330485"/>
    <w:rsid w:val="1A520606"/>
    <w:rsid w:val="1A913825"/>
    <w:rsid w:val="1AA366F2"/>
    <w:rsid w:val="1AC82085"/>
    <w:rsid w:val="1AEF5DBD"/>
    <w:rsid w:val="1B423649"/>
    <w:rsid w:val="1B510746"/>
    <w:rsid w:val="1BA24967"/>
    <w:rsid w:val="1BD95F94"/>
    <w:rsid w:val="1BDA5141"/>
    <w:rsid w:val="1C3D1CD0"/>
    <w:rsid w:val="1C5E7298"/>
    <w:rsid w:val="1C851710"/>
    <w:rsid w:val="1C917FBA"/>
    <w:rsid w:val="1CE6681A"/>
    <w:rsid w:val="1D586DE4"/>
    <w:rsid w:val="1DD14FB1"/>
    <w:rsid w:val="1DDD518B"/>
    <w:rsid w:val="1E1507D7"/>
    <w:rsid w:val="1E3072B7"/>
    <w:rsid w:val="1E403C53"/>
    <w:rsid w:val="1EA20D4A"/>
    <w:rsid w:val="1EAA6DF5"/>
    <w:rsid w:val="1ECC19F8"/>
    <w:rsid w:val="1EFF6958"/>
    <w:rsid w:val="1F0926FA"/>
    <w:rsid w:val="1F0A1209"/>
    <w:rsid w:val="1F734328"/>
    <w:rsid w:val="1FA11974"/>
    <w:rsid w:val="1FAE283E"/>
    <w:rsid w:val="1FB32543"/>
    <w:rsid w:val="20203DE8"/>
    <w:rsid w:val="2031215C"/>
    <w:rsid w:val="20955704"/>
    <w:rsid w:val="20DB7C51"/>
    <w:rsid w:val="20E9518E"/>
    <w:rsid w:val="20FE42D5"/>
    <w:rsid w:val="211313D4"/>
    <w:rsid w:val="21234291"/>
    <w:rsid w:val="21E52206"/>
    <w:rsid w:val="21F86645"/>
    <w:rsid w:val="22C4562D"/>
    <w:rsid w:val="23144387"/>
    <w:rsid w:val="234E7F45"/>
    <w:rsid w:val="23686144"/>
    <w:rsid w:val="239A17D4"/>
    <w:rsid w:val="239F51B6"/>
    <w:rsid w:val="241B2FD5"/>
    <w:rsid w:val="241B76CB"/>
    <w:rsid w:val="242445BB"/>
    <w:rsid w:val="243F039F"/>
    <w:rsid w:val="245B6D34"/>
    <w:rsid w:val="24AE0DF0"/>
    <w:rsid w:val="24B5447A"/>
    <w:rsid w:val="24B82068"/>
    <w:rsid w:val="24E10292"/>
    <w:rsid w:val="25043CC9"/>
    <w:rsid w:val="26281CED"/>
    <w:rsid w:val="265D0D96"/>
    <w:rsid w:val="269447EB"/>
    <w:rsid w:val="26D47A62"/>
    <w:rsid w:val="27306E68"/>
    <w:rsid w:val="27606908"/>
    <w:rsid w:val="276D70AB"/>
    <w:rsid w:val="277E77C1"/>
    <w:rsid w:val="27AE47D9"/>
    <w:rsid w:val="27E26E59"/>
    <w:rsid w:val="2809471B"/>
    <w:rsid w:val="28255BB3"/>
    <w:rsid w:val="285478B9"/>
    <w:rsid w:val="28603CA4"/>
    <w:rsid w:val="287D5E75"/>
    <w:rsid w:val="28AD0B61"/>
    <w:rsid w:val="29423CBE"/>
    <w:rsid w:val="29CD3FA9"/>
    <w:rsid w:val="2A1862C4"/>
    <w:rsid w:val="2A4B23FB"/>
    <w:rsid w:val="2AB1519A"/>
    <w:rsid w:val="2AC455D6"/>
    <w:rsid w:val="2AC82235"/>
    <w:rsid w:val="2AF0613E"/>
    <w:rsid w:val="2B083F92"/>
    <w:rsid w:val="2B542A45"/>
    <w:rsid w:val="2BB96BD3"/>
    <w:rsid w:val="2BC72D99"/>
    <w:rsid w:val="2BE54292"/>
    <w:rsid w:val="2BFC2B9D"/>
    <w:rsid w:val="2C285659"/>
    <w:rsid w:val="2C9F2631"/>
    <w:rsid w:val="2CF51ED1"/>
    <w:rsid w:val="2CFA23BD"/>
    <w:rsid w:val="2D1D15EF"/>
    <w:rsid w:val="2D285AA4"/>
    <w:rsid w:val="2D3B228A"/>
    <w:rsid w:val="2D5923F4"/>
    <w:rsid w:val="2D8523AE"/>
    <w:rsid w:val="2DB6192E"/>
    <w:rsid w:val="2DF36570"/>
    <w:rsid w:val="2E103F98"/>
    <w:rsid w:val="2EB775B3"/>
    <w:rsid w:val="2ECD5251"/>
    <w:rsid w:val="2EE85B84"/>
    <w:rsid w:val="2EF94A67"/>
    <w:rsid w:val="2EFC31BC"/>
    <w:rsid w:val="2F2F4C2C"/>
    <w:rsid w:val="2F3D4E71"/>
    <w:rsid w:val="302E07AF"/>
    <w:rsid w:val="30866EAA"/>
    <w:rsid w:val="30946552"/>
    <w:rsid w:val="309E20B5"/>
    <w:rsid w:val="30F3431F"/>
    <w:rsid w:val="311B0263"/>
    <w:rsid w:val="31503E5A"/>
    <w:rsid w:val="316D7D0D"/>
    <w:rsid w:val="319D3380"/>
    <w:rsid w:val="31AE180F"/>
    <w:rsid w:val="326B2AB6"/>
    <w:rsid w:val="32A942B0"/>
    <w:rsid w:val="32F13120"/>
    <w:rsid w:val="33193629"/>
    <w:rsid w:val="333000CE"/>
    <w:rsid w:val="333663A2"/>
    <w:rsid w:val="335B55F1"/>
    <w:rsid w:val="33863C3A"/>
    <w:rsid w:val="33A81036"/>
    <w:rsid w:val="33E26367"/>
    <w:rsid w:val="33F614DE"/>
    <w:rsid w:val="34207E90"/>
    <w:rsid w:val="342C61EA"/>
    <w:rsid w:val="344E25FB"/>
    <w:rsid w:val="34914DCA"/>
    <w:rsid w:val="34C6331F"/>
    <w:rsid w:val="34D95BB9"/>
    <w:rsid w:val="34F97D00"/>
    <w:rsid w:val="35050B53"/>
    <w:rsid w:val="354D014F"/>
    <w:rsid w:val="35502BD2"/>
    <w:rsid w:val="356154A3"/>
    <w:rsid w:val="35A35F0C"/>
    <w:rsid w:val="35A43DB0"/>
    <w:rsid w:val="361C2353"/>
    <w:rsid w:val="3635547B"/>
    <w:rsid w:val="365C6586"/>
    <w:rsid w:val="36746B61"/>
    <w:rsid w:val="36A9407C"/>
    <w:rsid w:val="36CA7953"/>
    <w:rsid w:val="36FA1D41"/>
    <w:rsid w:val="37C2178A"/>
    <w:rsid w:val="37D61EDD"/>
    <w:rsid w:val="37E26F6D"/>
    <w:rsid w:val="37E93248"/>
    <w:rsid w:val="37F97B97"/>
    <w:rsid w:val="380411EC"/>
    <w:rsid w:val="3829480D"/>
    <w:rsid w:val="383529C2"/>
    <w:rsid w:val="383C5BD0"/>
    <w:rsid w:val="38536D3F"/>
    <w:rsid w:val="387B61F0"/>
    <w:rsid w:val="387D26D9"/>
    <w:rsid w:val="388727CC"/>
    <w:rsid w:val="38CE22F4"/>
    <w:rsid w:val="39024B57"/>
    <w:rsid w:val="3A02147B"/>
    <w:rsid w:val="3A06167E"/>
    <w:rsid w:val="3A3665DD"/>
    <w:rsid w:val="3A6F42D5"/>
    <w:rsid w:val="3A82293D"/>
    <w:rsid w:val="3A9E2AD9"/>
    <w:rsid w:val="3AC57875"/>
    <w:rsid w:val="3AE309A9"/>
    <w:rsid w:val="3AEF40DA"/>
    <w:rsid w:val="3B596DF7"/>
    <w:rsid w:val="3BC23F1A"/>
    <w:rsid w:val="3BC52C1E"/>
    <w:rsid w:val="3C2A7289"/>
    <w:rsid w:val="3C5503C9"/>
    <w:rsid w:val="3C6D30EA"/>
    <w:rsid w:val="3C6D47EB"/>
    <w:rsid w:val="3CCB7AFB"/>
    <w:rsid w:val="3CD8469E"/>
    <w:rsid w:val="3CE24E25"/>
    <w:rsid w:val="3D2C7D07"/>
    <w:rsid w:val="3D2E7413"/>
    <w:rsid w:val="3D406D01"/>
    <w:rsid w:val="3D4E0A24"/>
    <w:rsid w:val="3D5934AC"/>
    <w:rsid w:val="3D966C01"/>
    <w:rsid w:val="3DA51E2F"/>
    <w:rsid w:val="3DB43891"/>
    <w:rsid w:val="3E0B7BD9"/>
    <w:rsid w:val="3E267F59"/>
    <w:rsid w:val="3E4456FC"/>
    <w:rsid w:val="3EA877DC"/>
    <w:rsid w:val="3F1E12A1"/>
    <w:rsid w:val="3F7117D8"/>
    <w:rsid w:val="3FEB0FB3"/>
    <w:rsid w:val="40325295"/>
    <w:rsid w:val="407C021F"/>
    <w:rsid w:val="40F33173"/>
    <w:rsid w:val="40F82E28"/>
    <w:rsid w:val="41585AC3"/>
    <w:rsid w:val="41B34CCB"/>
    <w:rsid w:val="41C87C60"/>
    <w:rsid w:val="41C96466"/>
    <w:rsid w:val="41F85DEA"/>
    <w:rsid w:val="420610DF"/>
    <w:rsid w:val="429544E1"/>
    <w:rsid w:val="42CE6929"/>
    <w:rsid w:val="42F71CEC"/>
    <w:rsid w:val="43C65B01"/>
    <w:rsid w:val="43DF4E15"/>
    <w:rsid w:val="43E53BCD"/>
    <w:rsid w:val="43F03364"/>
    <w:rsid w:val="443B107F"/>
    <w:rsid w:val="44776D6B"/>
    <w:rsid w:val="44843D36"/>
    <w:rsid w:val="44B14540"/>
    <w:rsid w:val="44BA7E1E"/>
    <w:rsid w:val="44BE79C3"/>
    <w:rsid w:val="4535668D"/>
    <w:rsid w:val="455340E3"/>
    <w:rsid w:val="45CA31DA"/>
    <w:rsid w:val="45D50D55"/>
    <w:rsid w:val="45EC6821"/>
    <w:rsid w:val="45F303D0"/>
    <w:rsid w:val="45F84858"/>
    <w:rsid w:val="462356B3"/>
    <w:rsid w:val="464004CF"/>
    <w:rsid w:val="4673772B"/>
    <w:rsid w:val="46A55352"/>
    <w:rsid w:val="46B51FCF"/>
    <w:rsid w:val="46BA0199"/>
    <w:rsid w:val="46FF6AF5"/>
    <w:rsid w:val="47062A9A"/>
    <w:rsid w:val="476E313F"/>
    <w:rsid w:val="47993F84"/>
    <w:rsid w:val="47BD666C"/>
    <w:rsid w:val="47DB6CDA"/>
    <w:rsid w:val="480A17DC"/>
    <w:rsid w:val="4896658D"/>
    <w:rsid w:val="497F7FCC"/>
    <w:rsid w:val="49B17433"/>
    <w:rsid w:val="4A284A82"/>
    <w:rsid w:val="4A662E1D"/>
    <w:rsid w:val="4A7E32B4"/>
    <w:rsid w:val="4AF07359"/>
    <w:rsid w:val="4AFC533A"/>
    <w:rsid w:val="4B1367B9"/>
    <w:rsid w:val="4B316DE7"/>
    <w:rsid w:val="4B565C38"/>
    <w:rsid w:val="4B6D7831"/>
    <w:rsid w:val="4B8D0855"/>
    <w:rsid w:val="4B920891"/>
    <w:rsid w:val="4B9C680D"/>
    <w:rsid w:val="4BB221B4"/>
    <w:rsid w:val="4C353BC7"/>
    <w:rsid w:val="4C5D54D6"/>
    <w:rsid w:val="4C814518"/>
    <w:rsid w:val="4C91315E"/>
    <w:rsid w:val="4CAD0872"/>
    <w:rsid w:val="4CCE50CA"/>
    <w:rsid w:val="4D3A24A4"/>
    <w:rsid w:val="4D5613EC"/>
    <w:rsid w:val="4D594475"/>
    <w:rsid w:val="4D762F64"/>
    <w:rsid w:val="4DB06342"/>
    <w:rsid w:val="4DEC01C6"/>
    <w:rsid w:val="4DF158ED"/>
    <w:rsid w:val="4E0C3478"/>
    <w:rsid w:val="4E207448"/>
    <w:rsid w:val="4E4D0205"/>
    <w:rsid w:val="4EC83A06"/>
    <w:rsid w:val="4F1C0A54"/>
    <w:rsid w:val="4F235FC8"/>
    <w:rsid w:val="4F2C3853"/>
    <w:rsid w:val="4F7F20AA"/>
    <w:rsid w:val="4F873909"/>
    <w:rsid w:val="4F9510BA"/>
    <w:rsid w:val="4FA843B3"/>
    <w:rsid w:val="4FF617D6"/>
    <w:rsid w:val="50507ECA"/>
    <w:rsid w:val="506B2DFC"/>
    <w:rsid w:val="508F3931"/>
    <w:rsid w:val="50E64646"/>
    <w:rsid w:val="50FC2CFB"/>
    <w:rsid w:val="513A3326"/>
    <w:rsid w:val="513B4B9D"/>
    <w:rsid w:val="515C13CF"/>
    <w:rsid w:val="516A6684"/>
    <w:rsid w:val="518C6DB2"/>
    <w:rsid w:val="51AF5989"/>
    <w:rsid w:val="51E25CE3"/>
    <w:rsid w:val="51E261D3"/>
    <w:rsid w:val="51EA16FB"/>
    <w:rsid w:val="5223684A"/>
    <w:rsid w:val="52A32CE7"/>
    <w:rsid w:val="52A955AB"/>
    <w:rsid w:val="532C26FC"/>
    <w:rsid w:val="53322A76"/>
    <w:rsid w:val="53C54AA3"/>
    <w:rsid w:val="547F5841"/>
    <w:rsid w:val="54A648D1"/>
    <w:rsid w:val="54D81A93"/>
    <w:rsid w:val="54DB29BD"/>
    <w:rsid w:val="54E44ED6"/>
    <w:rsid w:val="5529069B"/>
    <w:rsid w:val="55571991"/>
    <w:rsid w:val="566931AC"/>
    <w:rsid w:val="56F374FB"/>
    <w:rsid w:val="57613A81"/>
    <w:rsid w:val="57B21D48"/>
    <w:rsid w:val="57D83FAF"/>
    <w:rsid w:val="58532B7C"/>
    <w:rsid w:val="58D81F5B"/>
    <w:rsid w:val="592D06A1"/>
    <w:rsid w:val="59620232"/>
    <w:rsid w:val="59A00F56"/>
    <w:rsid w:val="59B24039"/>
    <w:rsid w:val="59DA5A4F"/>
    <w:rsid w:val="5A31005C"/>
    <w:rsid w:val="5A637CC1"/>
    <w:rsid w:val="5AE55CE6"/>
    <w:rsid w:val="5B0260D0"/>
    <w:rsid w:val="5B3D7266"/>
    <w:rsid w:val="5B723495"/>
    <w:rsid w:val="5B8D1AC1"/>
    <w:rsid w:val="5BA3592C"/>
    <w:rsid w:val="5BAB7539"/>
    <w:rsid w:val="5BCE0DEA"/>
    <w:rsid w:val="5C610721"/>
    <w:rsid w:val="5C8B6FF1"/>
    <w:rsid w:val="5CFE4143"/>
    <w:rsid w:val="5D13255A"/>
    <w:rsid w:val="5D331782"/>
    <w:rsid w:val="5D502A92"/>
    <w:rsid w:val="5E204AD7"/>
    <w:rsid w:val="5E4C6102"/>
    <w:rsid w:val="5E6D4BC0"/>
    <w:rsid w:val="5EEA5BA3"/>
    <w:rsid w:val="5F3E69CE"/>
    <w:rsid w:val="5FE11ED3"/>
    <w:rsid w:val="6009519E"/>
    <w:rsid w:val="603D2CDD"/>
    <w:rsid w:val="60AD5F5F"/>
    <w:rsid w:val="60D525F3"/>
    <w:rsid w:val="60E30438"/>
    <w:rsid w:val="61127BCE"/>
    <w:rsid w:val="611E5441"/>
    <w:rsid w:val="612D3C7B"/>
    <w:rsid w:val="617C2D8F"/>
    <w:rsid w:val="61826F89"/>
    <w:rsid w:val="623E2101"/>
    <w:rsid w:val="62757735"/>
    <w:rsid w:val="62947A1C"/>
    <w:rsid w:val="62A109BE"/>
    <w:rsid w:val="62CD6DE1"/>
    <w:rsid w:val="62E70A4E"/>
    <w:rsid w:val="62FD4A9D"/>
    <w:rsid w:val="632C6FC4"/>
    <w:rsid w:val="634B3FF6"/>
    <w:rsid w:val="63DA517F"/>
    <w:rsid w:val="64460ECC"/>
    <w:rsid w:val="644F5E22"/>
    <w:rsid w:val="64681DB1"/>
    <w:rsid w:val="64902A98"/>
    <w:rsid w:val="64961979"/>
    <w:rsid w:val="64D843A5"/>
    <w:rsid w:val="64E46FA4"/>
    <w:rsid w:val="652B7ADD"/>
    <w:rsid w:val="653E277C"/>
    <w:rsid w:val="657E520F"/>
    <w:rsid w:val="663B46C9"/>
    <w:rsid w:val="663F30CF"/>
    <w:rsid w:val="66F93E1B"/>
    <w:rsid w:val="67413BF6"/>
    <w:rsid w:val="6755359A"/>
    <w:rsid w:val="67A7418D"/>
    <w:rsid w:val="67D27C62"/>
    <w:rsid w:val="67D67A95"/>
    <w:rsid w:val="67DF6978"/>
    <w:rsid w:val="68CC107E"/>
    <w:rsid w:val="68D102AF"/>
    <w:rsid w:val="694E04D2"/>
    <w:rsid w:val="695664EF"/>
    <w:rsid w:val="69653491"/>
    <w:rsid w:val="698044A5"/>
    <w:rsid w:val="69E66B78"/>
    <w:rsid w:val="6A510F7A"/>
    <w:rsid w:val="6A7259EE"/>
    <w:rsid w:val="6AA67E64"/>
    <w:rsid w:val="6AEB6209"/>
    <w:rsid w:val="6AF21A55"/>
    <w:rsid w:val="6B0D712F"/>
    <w:rsid w:val="6B28575B"/>
    <w:rsid w:val="6B472B04"/>
    <w:rsid w:val="6B827ED3"/>
    <w:rsid w:val="6BD66216"/>
    <w:rsid w:val="6BE4485D"/>
    <w:rsid w:val="6BFE3795"/>
    <w:rsid w:val="6C1E113E"/>
    <w:rsid w:val="6C3A1127"/>
    <w:rsid w:val="6C3B11AE"/>
    <w:rsid w:val="6C3B431E"/>
    <w:rsid w:val="6C593462"/>
    <w:rsid w:val="6C857DA8"/>
    <w:rsid w:val="6CC1587C"/>
    <w:rsid w:val="6D266267"/>
    <w:rsid w:val="6D2B74AA"/>
    <w:rsid w:val="6D697BC3"/>
    <w:rsid w:val="6D7111BC"/>
    <w:rsid w:val="6DCA5CB9"/>
    <w:rsid w:val="6E08583A"/>
    <w:rsid w:val="6E280F38"/>
    <w:rsid w:val="6E5408E4"/>
    <w:rsid w:val="6E8A21F7"/>
    <w:rsid w:val="6ECB7942"/>
    <w:rsid w:val="6EFC69C0"/>
    <w:rsid w:val="6F000F0B"/>
    <w:rsid w:val="6F197436"/>
    <w:rsid w:val="6F2867BD"/>
    <w:rsid w:val="6F44559B"/>
    <w:rsid w:val="70115BE8"/>
    <w:rsid w:val="703A2630"/>
    <w:rsid w:val="70561E49"/>
    <w:rsid w:val="709C594C"/>
    <w:rsid w:val="70C723A5"/>
    <w:rsid w:val="71D0045B"/>
    <w:rsid w:val="71D05F49"/>
    <w:rsid w:val="71F773F9"/>
    <w:rsid w:val="720F4381"/>
    <w:rsid w:val="725E4C39"/>
    <w:rsid w:val="73090FE2"/>
    <w:rsid w:val="73265607"/>
    <w:rsid w:val="73522B35"/>
    <w:rsid w:val="7399271A"/>
    <w:rsid w:val="73EC173C"/>
    <w:rsid w:val="73F82EA2"/>
    <w:rsid w:val="7435596C"/>
    <w:rsid w:val="74722C9A"/>
    <w:rsid w:val="747E452E"/>
    <w:rsid w:val="74880357"/>
    <w:rsid w:val="74A647DF"/>
    <w:rsid w:val="74FA5A4A"/>
    <w:rsid w:val="751A36A3"/>
    <w:rsid w:val="754B57C9"/>
    <w:rsid w:val="755F161D"/>
    <w:rsid w:val="75884210"/>
    <w:rsid w:val="75BD4A84"/>
    <w:rsid w:val="75EA7003"/>
    <w:rsid w:val="760D56E2"/>
    <w:rsid w:val="76EE218C"/>
    <w:rsid w:val="772E0B03"/>
    <w:rsid w:val="77397F47"/>
    <w:rsid w:val="773C532B"/>
    <w:rsid w:val="77552F6F"/>
    <w:rsid w:val="77642276"/>
    <w:rsid w:val="778A542A"/>
    <w:rsid w:val="77C177F8"/>
    <w:rsid w:val="77DB3F30"/>
    <w:rsid w:val="77EF5E51"/>
    <w:rsid w:val="789A3CEC"/>
    <w:rsid w:val="78C2063C"/>
    <w:rsid w:val="79332F0B"/>
    <w:rsid w:val="796923D7"/>
    <w:rsid w:val="79C11BD2"/>
    <w:rsid w:val="79E8078D"/>
    <w:rsid w:val="7A3422EE"/>
    <w:rsid w:val="7A4774F3"/>
    <w:rsid w:val="7AA678C6"/>
    <w:rsid w:val="7B016CDB"/>
    <w:rsid w:val="7B113087"/>
    <w:rsid w:val="7B230F9F"/>
    <w:rsid w:val="7B5441DD"/>
    <w:rsid w:val="7B9D3F28"/>
    <w:rsid w:val="7B9E2E7D"/>
    <w:rsid w:val="7BA5186C"/>
    <w:rsid w:val="7BB92BA6"/>
    <w:rsid w:val="7BEA35A6"/>
    <w:rsid w:val="7C050B07"/>
    <w:rsid w:val="7C9E7A01"/>
    <w:rsid w:val="7CE426F4"/>
    <w:rsid w:val="7D2E186E"/>
    <w:rsid w:val="7D8F4D8B"/>
    <w:rsid w:val="7DBA4407"/>
    <w:rsid w:val="7DD14D63"/>
    <w:rsid w:val="7E04089A"/>
    <w:rsid w:val="7E0773D0"/>
    <w:rsid w:val="7E256583"/>
    <w:rsid w:val="7E5D66DD"/>
    <w:rsid w:val="7E734104"/>
    <w:rsid w:val="7E7C3173"/>
    <w:rsid w:val="7EEE5FCC"/>
    <w:rsid w:val="7F2E279D"/>
    <w:rsid w:val="7F5F09C9"/>
    <w:rsid w:val="7F60044C"/>
    <w:rsid w:val="7F7054DF"/>
    <w:rsid w:val="7F724CCB"/>
    <w:rsid w:val="7F8044A4"/>
    <w:rsid w:val="7F880165"/>
    <w:rsid w:val="7FD453A9"/>
    <w:rsid w:val="7FF47A78"/>
    <w:rsid w:val="7FF76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emf"/><Relationship Id="rId13" Type="http://schemas.openxmlformats.org/officeDocument/2006/relationships/oleObject" Target="embeddings/oleObject1.bin"/><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1</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2024-09-30T06:06:35Z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2F93B362DF5448A48FAA7247B06F2D05</vt:lpwstr>
  </property>
</Properties>
</file>